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Krajský soud v Ústí nad Labem</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Národního odboje 1274</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400 92 Ústí na Dlabem 50</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 Děčíně dne 3. 4. 2026</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Žalobci:</w:t>
        <w:tab/>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JUDr. Štěpán Klapka</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narozen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ab/>
        <w:tab/>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ab/>
        <w:tab/>
        <w:t xml:space="preserve">2)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JUDr. David Kapitán</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narozen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ab/>
        <w:tab/>
        <w:t xml:space="preserv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Žalovaný:</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ab/>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Předseda Okresního soudu v Děčíně</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ab/>
        <w:tab/>
        <w:t xml:space="preserve">Masarykovo náměstí 1, 405 97 Děčín</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1"/>
          <w:bCs w:val="1"/>
          <w:i w:val="0"/>
          <w:iCs w:val="0"/>
          <w:smallCaps w:val="0"/>
          <w:strike w:val="0"/>
          <w:color w:val="000000"/>
          <w:sz w:val="32"/>
          <w:szCs w:val="32"/>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32"/>
          <w:szCs w:val="32"/>
          <w:u w:val="none"/>
          <w:shd w:fill="auto" w:val="clear"/>
          <w:vertAlign w:val="baseline"/>
          <w:rtl w:val="0"/>
        </w:rPr>
        <w:t xml:space="preserve">Žaloba na ochranu před nezákonným zásahem správního orgánu</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Elektronicky prostřednictví datové schránky žalobce č. 1</w:t>
      </w:r>
    </w:p>
    <w:p w:rsidR="00000000" w:rsidDel="00000000" w:rsidP="00000000" w:rsidRDefault="00000000" w:rsidRPr="00000000" w14:paraId="0000001C">
      <w:pPr>
        <w:rPr>
          <w:rFonts w:ascii="Garamond" w:cs="Garamond" w:eastAsia="Garamond" w:hAnsi="Garamond"/>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D">
      <w:pPr>
        <w:spacing w:after="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w:t>
      </w:r>
    </w:p>
    <w:p w:rsidR="00000000" w:rsidDel="00000000" w:rsidP="00000000" w:rsidRDefault="00000000" w:rsidRPr="00000000" w14:paraId="0000001E">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Stručné shrnutí sporu</w:t>
      </w:r>
    </w:p>
    <w:p w:rsidR="00000000" w:rsidDel="00000000" w:rsidP="00000000" w:rsidRDefault="00000000" w:rsidRPr="00000000" w14:paraId="0000001F">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Žalobci jsou soudci Okresního soudu v Děčíně zařazení mj. na občanskoprávním úseku. Předmětem žaloby je ochrana před trvajícím nezákonným zásahem žalovaného spočívajícím v protiprávní úpravě nápadu věcí do soudních oddělení žalobců prostřednictvím rozvrhu práce, jímž bylo přímo zasaženo do práva žalobců na rovnoměrné přidělování věcí k projednání ve vztahu k žalovanému a všem kolegům Okresního soudu v Děčíně. Žalobci mají za to, že k zásahu do jejich práv došlo v důsledku aplikace rozvrhu práce</w:t>
      </w:r>
      <w:r w:rsidDel="00000000" w:rsidR="00000000" w:rsidRPr="00000000">
        <w:rPr>
          <w:rFonts w:ascii="Garamond" w:cs="Garamond" w:eastAsia="Garamond" w:hAnsi="Garamond"/>
          <w:sz w:val="24"/>
          <w:szCs w:val="24"/>
          <w:highlight w:val="white"/>
          <w:rtl w:val="0"/>
        </w:rPr>
        <w:t xml:space="preserve">, který nevyhovuje zákonným a ústavním požadavkům kladeným na tento druh aktu.</w:t>
      </w:r>
      <w:r w:rsidDel="00000000" w:rsidR="00000000" w:rsidRPr="00000000">
        <w:rPr>
          <w:rtl w:val="0"/>
        </w:rPr>
      </w:r>
    </w:p>
    <w:p w:rsidR="00000000" w:rsidDel="00000000" w:rsidP="00000000" w:rsidRDefault="00000000" w:rsidRPr="00000000" w14:paraId="00000020">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Rozvrhem práce pro rok 2026 (Spr 687/2025) žalovaný stanovil nápad věcí do soudních oddělení žalobců a ostatních civilních soudců v celkovém rozsahu 100 %. Do svého soudního oddělení 26 stanovil žalovaný nápad věcí v rozsahu 25 %. V rámci civilního úseku Okresního soudu v Děčíně je tak do soudního oddělení žalovaného oproti ostatním oddělením k projednání a rozhodnutí přidělováno 4x méně věcí. V důsledku toho je do soudních oddělení žalobců (resp. všech civilních soudců) přidělováno více věcí, nežli by připadalo při rozvržení věcí odpovídajícímu zákonným kritériím.</w:t>
      </w:r>
    </w:p>
    <w:p w:rsidR="00000000" w:rsidDel="00000000" w:rsidP="00000000" w:rsidRDefault="00000000" w:rsidRPr="00000000" w14:paraId="00000021">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Napadený zásah žalovaného nemá povahu jednorázového či krátkodobého organizačního opatření, nýbrž představuje trvající zásah, který se každoročně obnovuje vydáním nového rozvrhu práce se shodným obsahem a jehož důsledky se průběžně a dlouhodobě promítají do výkonu soudcovské funkce žalobců.</w:t>
      </w:r>
    </w:p>
    <w:p w:rsidR="00000000" w:rsidDel="00000000" w:rsidP="00000000" w:rsidRDefault="00000000" w:rsidRPr="00000000" w14:paraId="00000022">
      <w:pPr>
        <w:jc w:val="both"/>
        <w:rPr>
          <w:rFonts w:ascii="Garamond" w:cs="Garamond" w:eastAsia="Garamond" w:hAnsi="Garamond"/>
          <w:sz w:val="24"/>
          <w:szCs w:val="24"/>
          <w:highlight w:val="white"/>
        </w:rPr>
      </w:pPr>
      <w:r w:rsidDel="00000000" w:rsidR="00000000" w:rsidRPr="00000000">
        <w:rPr>
          <w:rFonts w:ascii="Garamond" w:cs="Garamond" w:eastAsia="Garamond" w:hAnsi="Garamond"/>
          <w:sz w:val="24"/>
          <w:szCs w:val="24"/>
          <w:rtl w:val="0"/>
        </w:rPr>
        <w:t xml:space="preserve">Žalobci se domáhají uložení zákazu žalovanému činit kroky směřující k nezákonnému přidělování věcí do jejich soudních oddělení nezákonnou modifikací nápadu věcí do soudního oddělení žalovaného.</w:t>
      </w:r>
      <w:r w:rsidDel="00000000" w:rsidR="00000000" w:rsidRPr="00000000">
        <w:rPr>
          <w:rtl w:val="0"/>
        </w:rPr>
      </w:r>
    </w:p>
    <w:p w:rsidR="00000000" w:rsidDel="00000000" w:rsidP="00000000" w:rsidRDefault="00000000" w:rsidRPr="00000000" w14:paraId="00000023">
      <w:pPr>
        <w:spacing w:after="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II.</w:t>
      </w:r>
    </w:p>
    <w:p w:rsidR="00000000" w:rsidDel="00000000" w:rsidP="00000000" w:rsidRDefault="00000000" w:rsidRPr="00000000" w14:paraId="00000024">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Vymezení napadeného zásahu</w:t>
      </w:r>
    </w:p>
    <w:p w:rsidR="00000000" w:rsidDel="00000000" w:rsidP="00000000" w:rsidRDefault="00000000" w:rsidRPr="00000000" w14:paraId="00000025">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Žalobci touto žalobou napadají nezákonný zásah do svých subjektivních práv způsobený vydáním následujících rozvrhů práce Okresního soudu v Děčíně vydané žalovaným, a to konkrétně rozvrh práce pro rok 2022 účinný od 1. 2. 2022, ve znění pozdějších dodatků, rozvrh práce pro rok 2023, ve znění pozdějších dodatků, rozvrh práce pro rok 2024, ve znění pozdějších dodatků, rozvrh práce pro rok 2025, ve znění pozdějších dodatků, rozvrh práce pro rok 2026, ve znění pozdějších dodatků.</w:t>
      </w:r>
    </w:p>
    <w:p w:rsidR="00000000" w:rsidDel="00000000" w:rsidP="00000000" w:rsidRDefault="00000000" w:rsidRPr="00000000" w14:paraId="00000026">
      <w:pPr>
        <w:spacing w:after="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III.</w:t>
      </w:r>
    </w:p>
    <w:p w:rsidR="00000000" w:rsidDel="00000000" w:rsidP="00000000" w:rsidRDefault="00000000" w:rsidRPr="00000000" w14:paraId="00000027">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Přípustnost žaloby proti zásahu </w:t>
      </w:r>
    </w:p>
    <w:p w:rsidR="00000000" w:rsidDel="00000000" w:rsidP="00000000" w:rsidRDefault="00000000" w:rsidRPr="00000000" w14:paraId="00000028">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Žalobci poukazují na rozsudek Nejvyššího správního soudu č. j. 6 As 22/2022–58 ze dne 26. 5. 2022, v němž Nejvyšší správní soud v reakci na judikaturu Soudního dvora Evropské unie dovodil, že rozvrhem práce může být zasaženo do práva jednotlivce zastávajícího funkci soudce na její nerušený výkon, jak vyplývá z čl. 21 odst. 4 Listiny základních práv a svobod ve spojení s čl. 82 odst. 2 větou první Ústavy, garantujícím nezávislost soudců. Nejvyšší správní soud proto uzavřel, že proti tomuto zásahu se lze domáhat soudní ochrany ve správním soudnictví zásahovou žalobou dle § 82 a násl. s. ř. s.</w:t>
      </w:r>
    </w:p>
    <w:p w:rsidR="00000000" w:rsidDel="00000000" w:rsidP="00000000" w:rsidRDefault="00000000" w:rsidRPr="00000000" w14:paraId="00000029">
      <w:pPr>
        <w:keepNext w:val="1"/>
        <w:spacing w:after="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IV.</w:t>
      </w:r>
    </w:p>
    <w:p w:rsidR="00000000" w:rsidDel="00000000" w:rsidP="00000000" w:rsidRDefault="00000000" w:rsidRPr="00000000" w14:paraId="0000002A">
      <w:pPr>
        <w:keepNext w:val="1"/>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Lhůta pro podání žaloby</w:t>
      </w:r>
    </w:p>
    <w:p w:rsidR="00000000" w:rsidDel="00000000" w:rsidP="00000000" w:rsidRDefault="00000000" w:rsidRPr="00000000" w14:paraId="0000002B">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 zásahu žalovaného došlo s účinností od 1.1.2026 přijetím rozvrhu práce pro rok 2026 (Spr 687/2025). Zásah žalovaného ve stejné podobě stále trvá. Jak vyplývá z judikatury Nejvyššího správního soudu, ustanovení </w:t>
      </w:r>
      <w:hyperlink r:id="rId7">
        <w:r w:rsidDel="00000000" w:rsidR="00000000" w:rsidRPr="00000000">
          <w:rPr>
            <w:rFonts w:ascii="Garamond" w:cs="Garamond" w:eastAsia="Garamond" w:hAnsi="Garamond"/>
            <w:color w:val="000000"/>
            <w:sz w:val="24"/>
            <w:szCs w:val="24"/>
            <w:u w:val="none"/>
            <w:rtl w:val="0"/>
          </w:rPr>
          <w:t xml:space="preserve">§ 84</w:t>
        </w:r>
      </w:hyperlink>
      <w:r w:rsidDel="00000000" w:rsidR="00000000" w:rsidRPr="00000000">
        <w:rPr>
          <w:rFonts w:ascii="Garamond" w:cs="Garamond" w:eastAsia="Garamond" w:hAnsi="Garamond"/>
          <w:sz w:val="24"/>
          <w:szCs w:val="24"/>
          <w:rtl w:val="0"/>
        </w:rPr>
        <w:t xml:space="preserve"> odst. 1 s.ř.s. je třeba vykládat tak, že subjektivní i objektivní lhůta pro podání žaloby na ochranu před zásahem správního orgánu nemůže uplynout, dokud tento zásah trvá (rozsudky ze dne 26. 6. 2013, sp. zn. </w:t>
      </w:r>
      <w:hyperlink r:id="rId8">
        <w:r w:rsidDel="00000000" w:rsidR="00000000" w:rsidRPr="00000000">
          <w:rPr>
            <w:rFonts w:ascii="Garamond" w:cs="Garamond" w:eastAsia="Garamond" w:hAnsi="Garamond"/>
            <w:color w:val="000000"/>
            <w:sz w:val="24"/>
            <w:szCs w:val="24"/>
            <w:u w:val="none"/>
            <w:rtl w:val="0"/>
          </w:rPr>
          <w:t xml:space="preserve">6 Aps 1/2013</w:t>
        </w:r>
      </w:hyperlink>
      <w:r w:rsidDel="00000000" w:rsidR="00000000" w:rsidRPr="00000000">
        <w:rPr>
          <w:rFonts w:ascii="Garamond" w:cs="Garamond" w:eastAsia="Garamond" w:hAnsi="Garamond"/>
          <w:sz w:val="24"/>
          <w:szCs w:val="24"/>
          <w:rtl w:val="0"/>
        </w:rPr>
        <w:t xml:space="preserve">, ze dne 14. 8. 2014, sp. zn. </w:t>
      </w:r>
      <w:hyperlink r:id="rId9">
        <w:r w:rsidDel="00000000" w:rsidR="00000000" w:rsidRPr="00000000">
          <w:rPr>
            <w:rFonts w:ascii="Garamond" w:cs="Garamond" w:eastAsia="Garamond" w:hAnsi="Garamond"/>
            <w:color w:val="000000"/>
            <w:sz w:val="24"/>
            <w:szCs w:val="24"/>
            <w:u w:val="none"/>
            <w:rtl w:val="0"/>
          </w:rPr>
          <w:t xml:space="preserve">10 Afs 28/2014</w:t>
        </w:r>
      </w:hyperlink>
      <w:r w:rsidDel="00000000" w:rsidR="00000000" w:rsidRPr="00000000">
        <w:rPr>
          <w:rFonts w:ascii="Garamond" w:cs="Garamond" w:eastAsia="Garamond" w:hAnsi="Garamond"/>
          <w:sz w:val="24"/>
          <w:szCs w:val="24"/>
          <w:rtl w:val="0"/>
        </w:rPr>
        <w:t xml:space="preserve">  a ze dne 19. 2. 2015, sp. zn. </w:t>
      </w:r>
      <w:hyperlink r:id="rId10">
        <w:r w:rsidDel="00000000" w:rsidR="00000000" w:rsidRPr="00000000">
          <w:rPr>
            <w:rFonts w:ascii="Garamond" w:cs="Garamond" w:eastAsia="Garamond" w:hAnsi="Garamond"/>
            <w:color w:val="000000"/>
            <w:sz w:val="24"/>
            <w:szCs w:val="24"/>
            <w:u w:val="none"/>
            <w:rtl w:val="0"/>
          </w:rPr>
          <w:t xml:space="preserve">1 As 151/2014</w:t>
        </w:r>
      </w:hyperlink>
      <w:r w:rsidDel="00000000" w:rsidR="00000000" w:rsidRPr="00000000">
        <w:rPr>
          <w:rFonts w:ascii="Garamond" w:cs="Garamond" w:eastAsia="Garamond" w:hAnsi="Garamond"/>
          <w:sz w:val="24"/>
          <w:szCs w:val="24"/>
          <w:rtl w:val="0"/>
        </w:rPr>
        <w:t xml:space="preserve">).</w:t>
      </w:r>
    </w:p>
    <w:p w:rsidR="00000000" w:rsidDel="00000000" w:rsidP="00000000" w:rsidRDefault="00000000" w:rsidRPr="00000000" w14:paraId="0000002C">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2D">
      <w:pPr>
        <w:spacing w:after="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w:t>
      </w:r>
    </w:p>
    <w:p w:rsidR="00000000" w:rsidDel="00000000" w:rsidP="00000000" w:rsidRDefault="00000000" w:rsidRPr="00000000" w14:paraId="0000002E">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Aktivní legitimace žalobců</w:t>
      </w:r>
    </w:p>
    <w:p w:rsidR="00000000" w:rsidDel="00000000" w:rsidP="00000000" w:rsidRDefault="00000000" w:rsidRPr="00000000" w14:paraId="0000002F">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Žalobci jsou k podání této žaloby aktivně legitimováni, neboť napadeným zásahem byli přímo zkráceni na svém právu na nerušený a plnohodnotný výkon soudcovské funkce za podmínek odpovídajících zákonu. Podstatou zásahu není pouhá organizační odlišnost v rozvrhu práce, nýbrž dlouhodobé a systémové nastavení nápadu do soudního oddělení žalovaného v rozsahu 25 %, jehož bezprostředním důsledkem je přenesení části rozhodovací zátěže žalovaného na žalobce a ostatní soudce civilního úseku. Tím dochází ke konkrétnímu a měřitelnému zvýšení jejich pracovního zatížení, které se přímo promítá do podmínek výkonu jejich soudcovské funkce. Ustanovení § 42 odst. 1 písm. d) bodu 3 zákona o soudech a soudcích, podle něhož mají být pravidla přidělování věcí nastavena tak, aby pracovní vytížení jednotlivých soudních oddělení bylo, pokud je to možné, stejné, představuje v dané věci zákonné kritérium pro posouzení, zda žalovaný při výkonu státní správy soudu postupoval v mezích zákona, či zda nepřípustně a svévolně zasáhl do práv žalobců. Žalobci tedy neodvozují svou aktivní legitimaci od abstraktního nároku na určitý způsob organizace soudu, nýbrž od konkrétního zásahu do vlastních právních poměrů, spočívajícího v dlouhodobém a nepřiměřeném navýšení jejich rozhodovací zátěže v důsledku nezákonné modifikace nápadu do soudního oddělení žalovaného.</w:t>
      </w:r>
    </w:p>
    <w:p w:rsidR="00000000" w:rsidDel="00000000" w:rsidP="00000000" w:rsidRDefault="00000000" w:rsidRPr="00000000" w14:paraId="00000030">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31">
      <w:pPr>
        <w:spacing w:after="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VI.</w:t>
      </w:r>
    </w:p>
    <w:p w:rsidR="00000000" w:rsidDel="00000000" w:rsidP="00000000" w:rsidRDefault="00000000" w:rsidRPr="00000000" w14:paraId="00000032">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Nezákonnost zásahu</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0"/>
        <w:jc w:val="both"/>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Rozvrh práce, který stanoví nápad do soudního oddělení soudce, jenž je zároveň předsedou soudu, dlouhodobě pouze ve výši 25 %, je v rozporu s § 42 odst. 1 písm. d) bodem 3 zákona č. 6/2002 Sb., o soudech a soudcích, v platném znění. Podle tohoto ustanovení je předseda soudu povinen při vydání rozvrhu práce dbát o to, aby pracovní vytížení jednotlivých soudních oddělení bylo, pokud je to možné, stejné. Slovní spojení „pokud je to možné“ je nutno vykládat restriktivně. Umožňuje výjimečné a časově omezené snížení nápadu do soudního oddělení, například z důvodů přechodných osobních poměrů soudce (nemoc, závažná rodinná situace apod.).</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0"/>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Žalovaný nicméně odůvodnil snížení nápadu do svého soudního oddělení na 25 % odkazem na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Zásady výpočtu plánovaného počtu soudců krajských a okresních soudů vypracované Ministerstvem spravedlnosti, Odborem strategie a koncepce justice, podle nichž je koeficient řídící činnosti předsedy okresního soudu 0,75 u okresních soudů od 14 soudců. Koeficientu 0,75 řídící činnosti předsedy Okresního soudu v Děčíně, který má 29 soudců, odpovídá 25% podíl na výkonu rozhodovací činnosti soudce. Žalovaný snížení nápadu dále odůvodnil tím, že „…</w:t>
      </w:r>
      <w:r w:rsidDel="00000000" w:rsidR="00000000" w:rsidRPr="00000000">
        <w:rPr>
          <w:rFonts w:ascii="Garamond" w:cs="Garamond" w:eastAsia="Garamond" w:hAnsi="Garamond"/>
          <w:b w:val="0"/>
          <w:bCs w:val="0"/>
          <w:i w:val="1"/>
          <w:iCs w:val="1"/>
          <w:smallCaps w:val="0"/>
          <w:strike w:val="0"/>
          <w:color w:val="000000"/>
          <w:sz w:val="24"/>
          <w:szCs w:val="24"/>
          <w:u w:val="none"/>
          <w:shd w:fill="auto" w:val="clear"/>
          <w:vertAlign w:val="baseline"/>
          <w:rtl w:val="0"/>
        </w:rPr>
        <w:t xml:space="preserve">s ohledem na to, jak mě činnosti spojené s výkonem funkce předsedy soudu dlouhodobě pracovně zatěžují, nebudu na uvedeném nic měnit (směrem ke zvýšení nápadu), a k tomuto tématu se už nebudu ani vracet</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0"/>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Snížení nápadu věcí do soudního oddělení žalovaného je tedy odůvodněno jednak prostým spojením s výkonem funkce předsedy soudu, jednak tvrzeným dlouhodobým pracovním zatížením spojeným s výkonem funkce předsedy soudu. Podle názoru žalobců není dán zákonný důvod pro snížení nápadu do soudního oddělení žalovaného a představuje svévolné využití pravomocí vyplývajících z funkce předsedy soudu k přenesení pracovní zátěže na žalobce, resp. ostatní soudce civilního úseku.</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0"/>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jc w:val="both"/>
        <w:rPr>
          <w:rFonts w:ascii="Garamond" w:cs="Garamond" w:eastAsia="Garamond" w:hAnsi="Garamond"/>
          <w:b w:val="1"/>
          <w:bCs w:val="1"/>
          <w:sz w:val="24"/>
          <w:szCs w:val="24"/>
          <w:highlight w:val="white"/>
        </w:rPr>
      </w:pPr>
      <w:r w:rsidDel="00000000" w:rsidR="00000000" w:rsidRPr="00000000">
        <w:rPr>
          <w:rFonts w:ascii="Garamond" w:cs="Garamond" w:eastAsia="Garamond" w:hAnsi="Garamond"/>
          <w:b w:val="1"/>
          <w:bCs w:val="1"/>
          <w:sz w:val="24"/>
          <w:szCs w:val="24"/>
          <w:highlight w:val="white"/>
          <w:rtl w:val="0"/>
        </w:rPr>
        <w:t xml:space="preserve">Nezákonnost snížení nápadu z důvodu výkonu funkce předsedy soudu</w:t>
      </w:r>
    </w:p>
    <w:p w:rsidR="00000000" w:rsidDel="00000000" w:rsidP="00000000" w:rsidRDefault="00000000" w:rsidRPr="00000000" w14:paraId="00000038">
      <w:pPr>
        <w:jc w:val="both"/>
        <w:rPr>
          <w:rFonts w:ascii="Garamond" w:cs="Garamond" w:eastAsia="Garamond" w:hAnsi="Garamond"/>
          <w:sz w:val="24"/>
          <w:szCs w:val="24"/>
          <w:highlight w:val="white"/>
        </w:rPr>
      </w:pPr>
      <w:r w:rsidDel="00000000" w:rsidR="00000000" w:rsidRPr="00000000">
        <w:rPr>
          <w:rFonts w:ascii="Garamond" w:cs="Garamond" w:eastAsia="Garamond" w:hAnsi="Garamond"/>
          <w:sz w:val="24"/>
          <w:szCs w:val="24"/>
          <w:highlight w:val="white"/>
          <w:rtl w:val="0"/>
        </w:rPr>
        <w:t xml:space="preserve">Žalovaný zdůvodnil snížení nápadu do svého soudního oddělení na 25 % tím, že existence funkce předsedy soudu bez dalšího zakládá důvodnost umenšení rozhodovací činnosti soudce. Snížení rozsahu soudcovské funkce má podle tvrzení žalovaného oporu v materiálu Ministerstva spravedlnosti.</w:t>
      </w:r>
    </w:p>
    <w:p w:rsidR="00000000" w:rsidDel="00000000" w:rsidP="00000000" w:rsidRDefault="00000000" w:rsidRPr="00000000" w14:paraId="00000039">
      <w:pPr>
        <w:jc w:val="both"/>
        <w:rPr>
          <w:rFonts w:ascii="Garamond" w:cs="Garamond" w:eastAsia="Garamond" w:hAnsi="Garamond"/>
          <w:sz w:val="24"/>
          <w:szCs w:val="24"/>
          <w:highlight w:val="white"/>
        </w:rPr>
      </w:pPr>
      <w:r w:rsidDel="00000000" w:rsidR="00000000" w:rsidRPr="00000000">
        <w:rPr>
          <w:rFonts w:ascii="Garamond" w:cs="Garamond" w:eastAsia="Garamond" w:hAnsi="Garamond"/>
          <w:sz w:val="24"/>
          <w:szCs w:val="24"/>
          <w:highlight w:val="white"/>
          <w:rtl w:val="0"/>
        </w:rPr>
        <w:t xml:space="preserve">Uvedená argumentace nemá zákonnou oporu.</w:t>
      </w:r>
    </w:p>
    <w:p w:rsidR="00000000" w:rsidDel="00000000" w:rsidP="00000000" w:rsidRDefault="00000000" w:rsidRPr="00000000" w14:paraId="0000003A">
      <w:pPr>
        <w:jc w:val="both"/>
        <w:rPr>
          <w:rFonts w:ascii="Garamond" w:cs="Garamond" w:eastAsia="Garamond" w:hAnsi="Garamond"/>
          <w:sz w:val="24"/>
          <w:szCs w:val="24"/>
        </w:rPr>
      </w:pPr>
      <w:r w:rsidDel="00000000" w:rsidR="00000000" w:rsidRPr="00000000">
        <w:rPr>
          <w:rFonts w:ascii="Garamond" w:cs="Garamond" w:eastAsia="Garamond" w:hAnsi="Garamond"/>
          <w:sz w:val="24"/>
          <w:szCs w:val="24"/>
          <w:highlight w:val="white"/>
          <w:rtl w:val="0"/>
        </w:rPr>
        <w:t xml:space="preserve">Pravidla vnitřní organizace soudu a tvorby rozvrhu práce vymezuje § 40 a násl. zákona </w:t>
      </w:r>
      <w:r w:rsidDel="00000000" w:rsidR="00000000" w:rsidRPr="00000000">
        <w:rPr>
          <w:rFonts w:ascii="Garamond" w:cs="Garamond" w:eastAsia="Garamond" w:hAnsi="Garamond"/>
          <w:sz w:val="24"/>
          <w:szCs w:val="24"/>
          <w:rtl w:val="0"/>
        </w:rPr>
        <w:t xml:space="preserve">o soudech a soudcích. Podle § 40 odst. 1 zákona o soudech a soudcích, základem vnitřní organizace soudu jsou soudní oddělení vytvořená podle senátů nebo samosoudců; každý soudce se zařadí alespoň do jednoho soudního oddělení. Rozdělení jednotlivých věcí, které mají být u soudu projednány a rozhodnuty, do soudních oddělení se řídí rozvrhem práce. Rozvrh práce vydává na období kalendářního roku předseda soudu po projednání s příslušnou soudcovskou radou (§ 41 odst. 1 a 2). </w:t>
      </w:r>
    </w:p>
    <w:p w:rsidR="00000000" w:rsidDel="00000000" w:rsidP="00000000" w:rsidRDefault="00000000" w:rsidRPr="00000000" w14:paraId="0000003B">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Podle </w:t>
      </w:r>
      <w:r w:rsidDel="00000000" w:rsidR="00000000" w:rsidRPr="00000000">
        <w:rPr>
          <w:rFonts w:ascii="Garamond" w:cs="Garamond" w:eastAsia="Garamond" w:hAnsi="Garamond"/>
          <w:sz w:val="24"/>
          <w:szCs w:val="24"/>
          <w:highlight w:val="white"/>
          <w:rtl w:val="0"/>
        </w:rPr>
        <w:t xml:space="preserve">§ 42 </w:t>
      </w:r>
      <w:r w:rsidDel="00000000" w:rsidR="00000000" w:rsidRPr="00000000">
        <w:rPr>
          <w:rFonts w:ascii="Garamond" w:cs="Garamond" w:eastAsia="Garamond" w:hAnsi="Garamond"/>
          <w:sz w:val="24"/>
          <w:szCs w:val="24"/>
          <w:rtl w:val="0"/>
        </w:rPr>
        <w:t xml:space="preserve">odst. 1 písm. d) bodu 3 zákona o soudech a soudcích se v rozvrhu práce soudu zejména stanovují pravidla přidělování věcí soudním oddělením; pravidla přidělování věcí se současně stanoví tak, aby pracovní vytížení jednotlivých soudních oddělení bylo, pokud je to možné, stejné. </w:t>
      </w:r>
    </w:p>
    <w:p w:rsidR="00000000" w:rsidDel="00000000" w:rsidP="00000000" w:rsidRDefault="00000000" w:rsidRPr="00000000" w14:paraId="0000003C">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Zákon o soudech a soudcích ani jiný právní předpis nezakládá apriorní překážku či omezení přidělování věcí z důvodu výkonu funkce soudního funkcionáře. Předseda soudu je především soudcem, který současně vykonává úkoly ve státní správě soudů, jež se odvíjejí od jeho soudcovské funkce.  Jak vyplývá z judikatury kárného senátu Nejvyššího správního soudu (srov. č. j. 16 Kss 8/2013-45 ze dne 3. 10. 2013) „</w:t>
      </w:r>
      <w:r w:rsidDel="00000000" w:rsidR="00000000" w:rsidRPr="00000000">
        <w:rPr>
          <w:rFonts w:ascii="Garamond" w:cs="Garamond" w:eastAsia="Garamond" w:hAnsi="Garamond"/>
          <w:i w:val="1"/>
          <w:iCs w:val="1"/>
          <w:sz w:val="24"/>
          <w:szCs w:val="24"/>
          <w:rtl w:val="0"/>
        </w:rPr>
        <w:t xml:space="preserve">předseda soudu má podle současné právní úpravy dvojí postavení: je soudcem a zároveň se podílí na výkonu státní správy soudu (k tomu také nález Ústavního soudu č. 349/2002 Sb.). Primární by však mělo být vždy jeho postavení soudce; dočasně vykonávaná funkce je z tohoto hlediska jen jakousi ‚nadstavbou‘.“ </w:t>
      </w:r>
      <w:r w:rsidDel="00000000" w:rsidR="00000000" w:rsidRPr="00000000">
        <w:rPr>
          <w:rFonts w:ascii="Garamond" w:cs="Garamond" w:eastAsia="Garamond" w:hAnsi="Garamond"/>
          <w:sz w:val="24"/>
          <w:szCs w:val="24"/>
          <w:rtl w:val="0"/>
        </w:rPr>
        <w:t xml:space="preserve">I soudní funkcionář jakožto primárně soudce musí být zařazen alespoň do jednoho soudního oddělení, přičemž vztahy mezi odděleními jsou upraveny na principu stejného pracovního vytížení. Argumentace a postup žalovaného spojující existenci funkce předsedy soudu s omezeným výkonem funkce soudce na 25 % po celou dobu trvání funkce předsedy soudu je v přímém rozporu se zákonem a zakládá nezákonné důsledky ve vztahu k ostatním soudním oddělením. </w:t>
      </w:r>
    </w:p>
    <w:p w:rsidR="00000000" w:rsidDel="00000000" w:rsidP="00000000" w:rsidRDefault="00000000" w:rsidRPr="00000000" w14:paraId="0000003D">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Argumentace žalovaného není ostatně podpořena ani reálně existujícím doporučením či metodickým pokynem Ministerstva spravedlnosti ve vztahu k tvorbě rozvrhu práce. Ministerstvo spravedlnosti zdůrazňuje odpovědnost každého předsedy soudu za tvorbu rozvrhu práce, jehož kritéria jsou upravena výlučně zákonem. K žádosti žalobců o informace podle zákona č. 106/1999 Sb. Ministerstvo spravedlnosti ve sdělení ze dne 11.12.2025 uvedlo, že „</w:t>
      </w:r>
      <w:r w:rsidDel="00000000" w:rsidR="00000000" w:rsidRPr="00000000">
        <w:rPr>
          <w:rFonts w:ascii="Garamond" w:cs="Garamond" w:eastAsia="Garamond" w:hAnsi="Garamond"/>
          <w:i w:val="1"/>
          <w:iCs w:val="1"/>
          <w:sz w:val="24"/>
          <w:szCs w:val="24"/>
          <w:rtl w:val="0"/>
        </w:rPr>
        <w:t xml:space="preserve">nastavení způsobu přidělování věcí do soudních oddělení u jednotlivých soudů je v kompetenci předsedy daného soudu. Ten určuje způsob přidělování věcí rozvrhem práce, který sestavuje v souladu s pravidly stanovenými vyhláškou č. 37/1992 Sb., o jednacím řádu pro okresní a krajské soudy, a se znalostí konkrétních podmínek fungování soudu po projednání s příslušnou soudcovskou radou. </w:t>
      </w:r>
      <w:r w:rsidDel="00000000" w:rsidR="00000000" w:rsidRPr="00000000">
        <w:rPr>
          <w:rFonts w:ascii="Garamond" w:cs="Garamond" w:eastAsia="Garamond" w:hAnsi="Garamond"/>
          <w:b w:val="1"/>
          <w:bCs w:val="1"/>
          <w:i w:val="1"/>
          <w:iCs w:val="1"/>
          <w:sz w:val="24"/>
          <w:szCs w:val="24"/>
          <w:rtl w:val="0"/>
        </w:rPr>
        <w:t xml:space="preserve">Ministerstvo spravedlnosti, které je ústředním orgánem státní správy soudů, není oprávněno zasahovat do pravomoci předsedů soudů sestavovat, upravovat a vydávat rozvrh práce daného soudu a</w:t>
      </w:r>
      <w:r w:rsidDel="00000000" w:rsidR="00000000" w:rsidRPr="00000000">
        <w:rPr>
          <w:rFonts w:ascii="Garamond" w:cs="Garamond" w:eastAsia="Garamond" w:hAnsi="Garamond"/>
          <w:i w:val="1"/>
          <w:iCs w:val="1"/>
          <w:sz w:val="24"/>
          <w:szCs w:val="24"/>
          <w:rtl w:val="0"/>
        </w:rPr>
        <w:t xml:space="preserve"> </w:t>
      </w:r>
      <w:r w:rsidDel="00000000" w:rsidR="00000000" w:rsidRPr="00000000">
        <w:rPr>
          <w:rFonts w:ascii="Garamond" w:cs="Garamond" w:eastAsia="Garamond" w:hAnsi="Garamond"/>
          <w:b w:val="1"/>
          <w:bCs w:val="1"/>
          <w:i w:val="1"/>
          <w:iCs w:val="1"/>
          <w:sz w:val="24"/>
          <w:szCs w:val="24"/>
          <w:rtl w:val="0"/>
        </w:rPr>
        <w:t xml:space="preserve">nevyhotovuje tedy ani žádné metodické materiály závazného či doporučujícího charakteru, které by normovaly rozsah přidělování nápadu do soudních oddělení soudních funkcionářů</w:t>
      </w:r>
      <w:r w:rsidDel="00000000" w:rsidR="00000000" w:rsidRPr="00000000">
        <w:rPr>
          <w:rFonts w:ascii="Garamond" w:cs="Garamond" w:eastAsia="Garamond" w:hAnsi="Garamond"/>
          <w:i w:val="1"/>
          <w:iCs w:val="1"/>
          <w:sz w:val="24"/>
          <w:szCs w:val="24"/>
          <w:rtl w:val="0"/>
        </w:rPr>
        <w:t xml:space="preserve">. Způsob přidělování nápadu do soudních oddělení soudních funkcionářů na konkrétních soudech v tuto chvíli ministerstvo nesleduje ani nijak neeviduje. </w:t>
      </w:r>
      <w:r w:rsidDel="00000000" w:rsidR="00000000" w:rsidRPr="00000000">
        <w:rPr>
          <w:rFonts w:ascii="Garamond" w:cs="Garamond" w:eastAsia="Garamond" w:hAnsi="Garamond"/>
          <w:sz w:val="24"/>
          <w:szCs w:val="24"/>
          <w:rtl w:val="0"/>
        </w:rPr>
        <w:t xml:space="preserve">Ministerstvo spravedlnosti stanovuje tzv. „koeficienty vedení soudu,“ činí tak ovšem pro účely stanovení celkového počtu soudců na jednotlivých soudech (tzv. systemizace justice), nikoli jako normativní podklad pro tvorbu rozvrhů práce. Ministerstvo spravedlnosti tedy počítá s tím, že soudní funkcionáři obvykle přistupují ke snížení nápadu do svých soudních oddělení a tuto skutečnost toliko reflektuje pro stanovení počtu soudců konkrétních soudů. Pokud žalovaný z této skutečnosti dovozuje nezbytnost a důvodnost snížení nápadu do svého soudního oddělení, účelově manipuluje s důsledky vyplývajícími z jeho nezákonného jednání. </w:t>
      </w:r>
    </w:p>
    <w:p w:rsidR="00000000" w:rsidDel="00000000" w:rsidP="00000000" w:rsidRDefault="00000000" w:rsidRPr="00000000" w14:paraId="0000003E">
      <w:pPr>
        <w:ind w:left="1416" w:hanging="1416"/>
        <w:jc w:val="both"/>
        <w:rPr>
          <w:rFonts w:ascii="Garamond" w:cs="Garamond" w:eastAsia="Garamond" w:hAnsi="Garamond"/>
          <w:i w:val="1"/>
          <w:iCs w:val="1"/>
          <w:sz w:val="24"/>
          <w:szCs w:val="24"/>
        </w:rPr>
      </w:pPr>
      <w:r w:rsidDel="00000000" w:rsidR="00000000" w:rsidRPr="00000000">
        <w:rPr>
          <w:rFonts w:ascii="Garamond" w:cs="Garamond" w:eastAsia="Garamond" w:hAnsi="Garamond"/>
          <w:i w:val="1"/>
          <w:iCs w:val="1"/>
          <w:sz w:val="24"/>
          <w:szCs w:val="24"/>
          <w:rtl w:val="0"/>
        </w:rPr>
        <w:t xml:space="preserve">Důkaz: </w:t>
        <w:tab/>
        <w:t xml:space="preserve">Sdělení Ministerstva spravedlnosti ČR ze dne 11. 12. 2025 č. j. MSP-971/2025-OSV-OSV/4</w:t>
      </w:r>
    </w:p>
    <w:p w:rsidR="00000000" w:rsidDel="00000000" w:rsidP="00000000" w:rsidRDefault="00000000" w:rsidRPr="00000000" w14:paraId="0000003F">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Uvedený důsledek obdobně vyplývá z judikatury Nejvyššího soudu, který v rozsudku sp. zn. 21 Cdo 612/2006 ze dne 5. 6. 2007, odmítl názor, podle něhož by rozsah pracovního zatížení soudce mohl být určován délkou jeho pracovního úvazku. Nejvyšší soud v uvedeném rozhodnutí zdůraznil, že podle délky úvazku je soudci přidělováno určité množství věcí, avšak nerovnoměrné zatížení jednotlivých soudních oddělení je přípustné pouze v důsledku zákonem stanoveného způsobu rozdělení věcí. Z tohoto důvodu nemůže být délka pracovního úvazku významným kritériem pro rozdělování věcí mezi jednotlivá soudní oddělení. Nejvyšší soud v této souvislosti výslovně uvedl, že zákon nepřipouští vyšší pracovní vytížení některých soudních oddělení pouze z důvodu, že v jiných, méně vytížených soudních odděleních působí soudci se zkráceným úvazkem. Tento závěr Nejvyšší soud vyslovil ve sporu, v němž se soudkyně pečující o nezletilé dítě domáhala zkrácení pracovního úvazku, a přesto dovodil, že ani tato skutečnost sama o sobě nemůže odůvodnit snížení nápadu do jejího soudního oddělení. Z uvedené judikatury vyplývá obecný princip rovnosti pracovního zatížení soudních oddělení, který nelze obcházet ani prostřednictvím faktického zkrácení soudcovské činnosti. Jestliže tedy ani zkrácení pracovního úvazku soudce z důvodu péče o nezletilé dítě nepředstavuje legitimní důvod pro snížení nápadu do jeho soudního oddělení, nelze za takový důvod považovat ani skutečnost, že soudce současně vykonává funkci předsedy soudu a část své pracovní kapacity věnuje státní správě soudů. I zde se jedná o faktické omezení rozsahu soudcovské činnosti, které však zákon neumožňuje promítnout do trvalého snížení nápadu.</w:t>
      </w:r>
    </w:p>
    <w:p w:rsidR="00000000" w:rsidDel="00000000" w:rsidP="00000000" w:rsidRDefault="00000000" w:rsidRPr="00000000" w14:paraId="00000040">
      <w:pPr>
        <w:jc w:val="both"/>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Ústavněprávní souvislosti</w:t>
      </w:r>
    </w:p>
    <w:p w:rsidR="00000000" w:rsidDel="00000000" w:rsidP="00000000" w:rsidRDefault="00000000" w:rsidRPr="00000000" w14:paraId="00000041">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Podle čl. 82 odst. 3 Ústavy České republiky je funkce soudce neslučitelná s jakoukoli funkcí ve veřejné správě, přičemž zákon může stanovit, se kterými dalšími činnostmi je výkon funkce soudce neslučitelný.</w:t>
      </w:r>
    </w:p>
    <w:p w:rsidR="00000000" w:rsidDel="00000000" w:rsidP="00000000" w:rsidRDefault="00000000" w:rsidRPr="00000000" w14:paraId="00000042">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Ústavní úprava umožňuje zákonodárci okruh neslučitelných funkcí rozšířit, nikoli zužovat. Ústavní soud se k této otázce zásadním způsobem vyjádřil v nálezu sp. zn. Pl. ÚS 7/02, jímž zrušil tehdy platné ustanovení § 74 odst. 3 zákona o soudech a soudcích, podle kterého, výkon funkce předsedy a místopředsedy soudu se nepovažuje za výkon veřejné správy. Ústavní soud dospěl k závěru, že tato právní konstrukce je v rozporu s čl. 82 odst. 3 Ústavy, neboť fakticky zužuje ústavně vymezený okruh neslučitelných funkcí. Ústavní soud přitom výslovně konstatoval, že činnost předsedy soudu představuje výkon veřejné správy a zákonodárce není oprávněn tuto skutečnost popřít prostou zákonnou fikcí, která je přímým obcházením ústavních předpisů.</w:t>
      </w:r>
    </w:p>
    <w:p w:rsidR="00000000" w:rsidDel="00000000" w:rsidP="00000000" w:rsidRDefault="00000000" w:rsidRPr="00000000" w14:paraId="00000043">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Aktuálně platné ustanovení § 74 odst. 2 zákona o soudech a soudcích stanoví, že s výjimkou předsedy a místopředsedy soudu nesmí soudce současně s výkonem funkce soudce zastávat žádnou jinou funkci ve veřejné správě. Právní důsledky účinné právní úpravy jsou totožné s derogovaným zněním, současná právní úprava zdánlivě legalizuje souběh výkonu funkce soudce a předsedy soudu, přestože Ústavní soud výslovně dovodil, že činnost předsedy soudu je výkonem veřejné správy. Platná zákonná úprava tak zachovává stav, který byl Ústavním soudem shledán protiústavním, neboť opět umožňuje výjimku ze zákazu souběhu funkce soudce a výkonu veřejné správy, aniž by k tomu existovala ústavní opora.</w:t>
      </w:r>
    </w:p>
    <w:p w:rsidR="00000000" w:rsidDel="00000000" w:rsidP="00000000" w:rsidRDefault="00000000" w:rsidRPr="00000000" w14:paraId="00000044">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Žalovaný zdůvodňuje umenšení výkonu funkce soudce snížením nápadu do svého soudního oddělení souběhem s funkcí předsedy soudu. V situaci, kdy je zákonem aprobovaný souběh funkce soudce a soudního funkcionáře v rozporu s čl. 82 odst. 3 Ústavy, nelze jej využít jako zákonný argument vedoucí k omezení výkonu soudcovské činnosti a přenesení povinností vyplývajících z funkce soudce na ostatní kolegy. Postup žalovaného je z ústavněprávního hlediska nepřijatelný, narušuje základní koncepci soudcovské funkce, jejího plnohodnotného a nedělitelného výkonu a současně oslabuje zásadu rovnoměrného zatížení soudních oddělení jako jednu z institucionálních záruk nezávislosti soudců. </w:t>
      </w:r>
    </w:p>
    <w:p w:rsidR="00000000" w:rsidDel="00000000" w:rsidP="00000000" w:rsidRDefault="00000000" w:rsidRPr="00000000" w14:paraId="00000045">
      <w:pPr>
        <w:jc w:val="both"/>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Nezákonnost pro nepřiměřenost zásahu a nedostatek důvodů</w:t>
      </w:r>
    </w:p>
    <w:p w:rsidR="00000000" w:rsidDel="00000000" w:rsidP="00000000" w:rsidRDefault="00000000" w:rsidRPr="00000000" w14:paraId="00000046">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Žalobci primárně spatřují nezákonnost zásahu žalovaného v absenci zákonného podkladu, který by spojoval existenci funkce předsedy soudu s omezením výkonu funkce soudce/funkcionáře. Žalobci se kromě toho domnívají, že v dané věci není dán ani žádný jiný důvod zakládající zákonnou výjimku z pravidla rovnoměrného rozdělení věcí do všech soudních oddělení.</w:t>
      </w:r>
    </w:p>
    <w:p w:rsidR="00000000" w:rsidDel="00000000" w:rsidP="00000000" w:rsidRDefault="00000000" w:rsidRPr="00000000" w14:paraId="00000047">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Zákonná norma dává předsedovi soudu široké správní uvážení při tvorbě rozvrhu práce, a to i z hlediska rozsahu nápadu věcí do jednotlivých soudních oddělení. Předseda soudu je zmocněn </w:t>
      </w:r>
      <w:r w:rsidDel="00000000" w:rsidR="00000000" w:rsidRPr="00000000">
        <w:rPr>
          <w:rFonts w:ascii="Garamond" w:cs="Garamond" w:eastAsia="Garamond" w:hAnsi="Garamond"/>
          <w:sz w:val="24"/>
          <w:szCs w:val="24"/>
          <w:highlight w:val="white"/>
          <w:rtl w:val="0"/>
        </w:rPr>
        <w:t xml:space="preserve">aktivně nastavovat rozložení věcí mezi jednotlivá oddělení z hlediska typové odlišnosti věcí a modifikovat (snižovat či zastavovat) rozsah nápadu věcí do konkrétního soudního oddělení po určité časové období ve vztahu ke konkrétní specifické situaci. </w:t>
      </w:r>
      <w:r w:rsidDel="00000000" w:rsidR="00000000" w:rsidRPr="00000000">
        <w:rPr>
          <w:rFonts w:ascii="Garamond" w:cs="Garamond" w:eastAsia="Garamond" w:hAnsi="Garamond"/>
          <w:sz w:val="24"/>
          <w:szCs w:val="24"/>
          <w:rtl w:val="0"/>
        </w:rPr>
        <w:t xml:space="preserve">Jakékoli odchýlení od pravidel přidělování věcí vymezených § 42 odst. 1 písm. d) zákona o soudech a soudcích musí být přiměřené (proporcionální okolnostem případu) a nikoli svévolné</w:t>
      </w: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Garamond" w:cs="Garamond" w:eastAsia="Garamond" w:hAnsi="Garamond"/>
          <w:sz w:val="24"/>
          <w:szCs w:val="24"/>
          <w:rtl w:val="0"/>
        </w:rPr>
        <w:t xml:space="preserve">(tedy bez rozumných důvodů zejména v situacích širokého správního uvážení správního orgánu, viz např. nález ÚS ze dne 13. 11. 2007, sp. zn. </w:t>
      </w:r>
      <w:hyperlink r:id="rId11">
        <w:r w:rsidDel="00000000" w:rsidR="00000000" w:rsidRPr="00000000">
          <w:rPr>
            <w:rFonts w:ascii="Garamond" w:cs="Garamond" w:eastAsia="Garamond" w:hAnsi="Garamond"/>
            <w:color w:val="000000"/>
            <w:sz w:val="24"/>
            <w:szCs w:val="24"/>
            <w:u w:val="none"/>
            <w:rtl w:val="0"/>
          </w:rPr>
          <w:t xml:space="preserve">IV. ÚS 2323/07</w:t>
        </w:r>
      </w:hyperlink>
      <w:r w:rsidDel="00000000" w:rsidR="00000000" w:rsidRPr="00000000">
        <w:rPr>
          <w:rFonts w:ascii="Garamond" w:cs="Garamond" w:eastAsia="Garamond" w:hAnsi="Garamond"/>
          <w:sz w:val="24"/>
          <w:szCs w:val="24"/>
          <w:rtl w:val="0"/>
        </w:rPr>
        <w:t xml:space="preserve"> ). Porušení těchto kautel způsobuje nezákonnost zásahu správního orgánu.</w:t>
      </w:r>
    </w:p>
    <w:p w:rsidR="00000000" w:rsidDel="00000000" w:rsidP="00000000" w:rsidRDefault="00000000" w:rsidRPr="00000000" w14:paraId="00000048">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Žalovaný zdůvodnil snížení nápadu do svého soudního oddělení kromě obecného trvání funkce předsedy soudu tím, že je funkcí předsedy soudu „dlouhodobě pracovně zatížen.“ Neuvedl však žádné konkrétní okolnosti, z nichž by bylo možné dovodit opodstatněnost snížení nápadu na 25 % právě pro období roku 2026.  Žalobci se domnívají, že žádné konkrétní okolnosti při snížení nápadu do soudního oddělení žalovaného na 25 % dány nejsou. </w:t>
      </w:r>
    </w:p>
    <w:p w:rsidR="00000000" w:rsidDel="00000000" w:rsidP="00000000" w:rsidRDefault="00000000" w:rsidRPr="00000000" w14:paraId="00000049">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Navíc nelze přehlédnout, že obdobný model nastavení nápadu žalovaný uplatňoval již při svém předchozím působení ve funkci předsedy Okresního soudu v Teplicích, kde měl rovněž stanoven nápad ve výši 25 % (viz rozvrhy práce Okresního soudu v Teplicích pro roky 2017 – 2020). Nejde tedy o reakci na specifickou, aktuálně vzniklou situaci u Okresního soudu v Děčíně, nýbrž o dlouhodobě uplatňovaný přístup k výkonu funkce soudního funkcionáře, který fakticky minimalizuje vlastní rozhodovací činnost předsedy soudu bez existence konkrétních a přezkoumatelných důvodů. To potvrzuje, že napadené opatření není výsledkem individuálního a přiměřeného posouzení místních podmínek, ale představuje trvalý předem zvolený model výkonu funkce, jenž není opřen o zákonný podklad.</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Žalobci dále poukazují na to, že žalovaný má pro výkon své funkce k dispozici stabilní a dlouhodobé personální zázemí, které významně snižuje jeho reálnou pracovní zátěž jak při výkonu státní správy soudu, tak alespoň zčásti i při výkonu soudcovské funkce. Z aktuálního rozvrhu práce Okresního soudu v Děčíně pro rok 2026, stejně jako z rozvrhů práce předchozích, plyne, že soudnímu oddělení 26, v němž působí žalovaný, je dlouhodobě stanoven nápad ve věcech občanskoprávních i v agendě Nc pouze ve výši 25 %. Z téhož rozvrhu práce současně vyplývá, že …………………………… je asistentkou soudce (předsedy soudu) …………………….., současně vykonává funkci tiskové mluvčí a dle pokynů předsedy a místopředsedů soudu provádí činnosti spojené s řešením agendy Spr, St a Si. Výslovně je rovněž uvedeno, že ji při těchto činnostech a ve funkci tiskové mluvčí zastupuje ………………………….. Z rozpisů přidělení činností asistentů soudce a rozvrhů práce od jmenování žalovaného předsedou Okresního soudu v Děčíně, tj. od roku 2022, je zřejmé, že zapojení ………………………………. do podpory činnosti žalovaného při výkonu funkce předsedy soudu není nahodilé, nýbrž dlouhodobé. Žalobci dále tvrdí, že ……………………………………………….. pro žalovaného fakticky zajišťuje významnou část agendy spojené s výkonem státní správy soudu, včetně agendy Si a Spr, provádění pravidelných prověrek spisů soudců, vyřizování agendy odškodňování a přípravy konceptů rozhodnutí souvisejících s výkonem jeho soudcovské funkce, a že ……………………………… pro potřeby soudu, resp. v souvislosti s výkonem funkce žalovaného, zpracovává odvolání proti rozhodnutím soudních exekutorů. Za této situace je třeba po žalovaném o to více požadovat konkrétní, individualizované a přezkoumatelné odůvodnění, proč mu má být i nadále zachován toliko 25% nápad. Není-li takové odůvodnění dáno, je takto výrazné a dlouhodobé zvýhodnění soudního oddělení 26 nepřiměřené.</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b w:val="0"/>
          <w:bCs w:val="0"/>
          <w:i w:val="1"/>
          <w:iCs w:val="1"/>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1"/>
          <w:iCs w:val="1"/>
          <w:smallCaps w:val="0"/>
          <w:strike w:val="0"/>
          <w:color w:val="000000"/>
          <w:sz w:val="24"/>
          <w:szCs w:val="24"/>
          <w:u w:val="none"/>
          <w:shd w:fill="auto" w:val="clear"/>
          <w:vertAlign w:val="baseline"/>
          <w:rtl w:val="0"/>
        </w:rPr>
        <w:t xml:space="preserve">Důkaz: </w:t>
        <w:br w:type="textWrapping"/>
        <w:t xml:space="preserve">rozvrhy práce Okresního soudu v Děčíně od roku 2022,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b w:val="0"/>
          <w:bCs w:val="0"/>
          <w:i w:val="1"/>
          <w:iCs w:val="1"/>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1"/>
          <w:iCs w:val="1"/>
          <w:smallCaps w:val="0"/>
          <w:strike w:val="0"/>
          <w:color w:val="000000"/>
          <w:sz w:val="24"/>
          <w:szCs w:val="24"/>
          <w:u w:val="none"/>
          <w:shd w:fill="auto" w:val="clear"/>
          <w:vertAlign w:val="baseline"/>
          <w:rtl w:val="0"/>
        </w:rPr>
        <w:t xml:space="preserve">rozpisy přidělení činností asistentů soudce vedenými u Okresního soudu v Děčíně pod Spr 799/2022 od roku 2022,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b w:val="0"/>
          <w:bCs w:val="0"/>
          <w:i w:val="1"/>
          <w:iCs w:val="1"/>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1"/>
          <w:iCs w:val="1"/>
          <w:smallCaps w:val="0"/>
          <w:strike w:val="0"/>
          <w:color w:val="000000"/>
          <w:sz w:val="24"/>
          <w:szCs w:val="24"/>
          <w:u w:val="none"/>
          <w:shd w:fill="auto" w:val="clear"/>
          <w:vertAlign w:val="baseline"/>
          <w:rtl w:val="0"/>
        </w:rPr>
        <w:t xml:space="preserve">výslechem asistentky žalovaného ………………………..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b w:val="0"/>
          <w:bCs w:val="0"/>
          <w:i w:val="1"/>
          <w:iCs w:val="1"/>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1"/>
          <w:iCs w:val="1"/>
          <w:smallCaps w:val="0"/>
          <w:strike w:val="0"/>
          <w:color w:val="000000"/>
          <w:sz w:val="24"/>
          <w:szCs w:val="24"/>
          <w:u w:val="none"/>
          <w:shd w:fill="auto" w:val="clear"/>
          <w:vertAlign w:val="baseline"/>
          <w:rtl w:val="0"/>
        </w:rPr>
        <w:t xml:space="preserve">výslechem asistenta soudce …………………………..</w:t>
      </w:r>
    </w:p>
    <w:p w:rsidR="00000000" w:rsidDel="00000000" w:rsidP="00000000" w:rsidRDefault="00000000" w:rsidRPr="00000000" w14:paraId="0000004F">
      <w:pPr>
        <w:jc w:val="both"/>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50">
      <w:pPr>
        <w:jc w:val="both"/>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Ohrožení nezávislosti soudců</w:t>
      </w:r>
      <w:r w:rsidDel="00000000" w:rsidR="00000000" w:rsidRPr="00000000">
        <w:rPr>
          <w:rtl w:val="0"/>
        </w:rPr>
      </w:r>
    </w:p>
    <w:p w:rsidR="00000000" w:rsidDel="00000000" w:rsidP="00000000" w:rsidRDefault="00000000" w:rsidRPr="00000000" w14:paraId="00000051">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Důsledkem zásahu žalovaného je trvalé přenesení úkolů vyplývajících z funkce soudce na žalobce, resp. ostatní soudce Okresního soudu v Děčíně. Postup žalovaného a jeho zdůvodnění zakládá porušení mezinárdních standardů vymezujících vztahy mezi řadovými soudci a soudními funkcionáři. Guidelines for Judges on Managing Pressures on Independence, vypracované v roce 2024 CEELI Institute, výslovně řadí mezi vnitřní tlaky ohrožující nezávislost soudce mj. nespravedlivé přerozdělování věcí, změny pracovních podmínek a systematické ukládání nepřiměřeného pracovního zatížení, tyto tlaky mohou vycházet i z vnitřního prostředí soudní správy, včetně vedení soudu. </w:t>
      </w:r>
    </w:p>
    <w:p w:rsidR="00000000" w:rsidDel="00000000" w:rsidP="00000000" w:rsidRDefault="00000000" w:rsidRPr="00000000" w14:paraId="00000052">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Napadený zásah žalovaného tyto znaky naplňuje, neboť vytváří trvalý strukturální tlak na ostatní soudce prostřednictvím způsobu rozdělení nápadu (po celou dobu výkonu funkce předsedy Okresního soudu v Děčíně).</w:t>
      </w:r>
    </w:p>
    <w:p w:rsidR="00000000" w:rsidDel="00000000" w:rsidP="00000000" w:rsidRDefault="00000000" w:rsidRPr="00000000" w14:paraId="00000053">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54">
      <w:pPr>
        <w:keepNext w:val="1"/>
        <w:jc w:val="both"/>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Komparativní hledisko</w:t>
      </w:r>
      <w:r w:rsidDel="00000000" w:rsidR="00000000" w:rsidRPr="00000000">
        <w:rPr>
          <w:rtl w:val="0"/>
        </w:rPr>
      </w:r>
    </w:p>
    <w:p w:rsidR="00000000" w:rsidDel="00000000" w:rsidP="00000000" w:rsidRDefault="00000000" w:rsidRPr="00000000" w14:paraId="00000055">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Žalobci z přehledu výkonnosti</w:t>
      </w:r>
      <w:r w:rsidDel="00000000" w:rsidR="00000000" w:rsidRPr="00000000">
        <w:rPr>
          <w:rFonts w:ascii="Garamond" w:cs="Garamond" w:eastAsia="Garamond" w:hAnsi="Garamond"/>
          <w:i w:val="1"/>
          <w:iCs w:val="1"/>
          <w:sz w:val="24"/>
          <w:szCs w:val="24"/>
          <w:rtl w:val="0"/>
        </w:rPr>
        <w:t xml:space="preserve"> </w:t>
      </w:r>
      <w:r w:rsidDel="00000000" w:rsidR="00000000" w:rsidRPr="00000000">
        <w:rPr>
          <w:rFonts w:ascii="Garamond" w:cs="Garamond" w:eastAsia="Garamond" w:hAnsi="Garamond"/>
          <w:sz w:val="24"/>
          <w:szCs w:val="24"/>
          <w:rtl w:val="0"/>
        </w:rPr>
        <w:t xml:space="preserve">předsedů soudů pro rok 2024 vypracovaného Spolkem řadových soudců zjistili, že průměrný nápad předsedy okresního soudu v rámci České republiky bez ohledu na velikost soudu z hlediska počtu soudců činí přibližně 62 %, medián 51 %.</w:t>
      </w:r>
    </w:p>
    <w:p w:rsidR="00000000" w:rsidDel="00000000" w:rsidP="00000000" w:rsidRDefault="00000000" w:rsidRPr="00000000" w14:paraId="00000056">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 pokud by bylo možné připustit časově omezené výjimečné snížení nápadu do soudního oddělení předsedy soudu, z komparativního srovnání a absence odůvodnění postupu žalovaného vyplývá, že trvalé snížení nápadu na 25 % představuje svévolné odchýlení od obvyklých standardů výkonu funkce soudních funkcionářů u okresních soudů v České republice</w:t>
      </w:r>
    </w:p>
    <w:p w:rsidR="00000000" w:rsidDel="00000000" w:rsidP="00000000" w:rsidRDefault="00000000" w:rsidRPr="00000000" w14:paraId="00000057">
      <w:pPr>
        <w:jc w:val="both"/>
        <w:rPr>
          <w:rFonts w:ascii="Garamond" w:cs="Garamond" w:eastAsia="Garamond" w:hAnsi="Garamond"/>
          <w:i w:val="1"/>
          <w:iCs w:val="1"/>
          <w:sz w:val="24"/>
          <w:szCs w:val="24"/>
        </w:rPr>
      </w:pPr>
      <w:r w:rsidDel="00000000" w:rsidR="00000000" w:rsidRPr="00000000">
        <w:rPr>
          <w:rFonts w:ascii="Garamond" w:cs="Garamond" w:eastAsia="Garamond" w:hAnsi="Garamond"/>
          <w:i w:val="1"/>
          <w:iCs w:val="1"/>
          <w:sz w:val="24"/>
          <w:szCs w:val="24"/>
          <w:rtl w:val="0"/>
        </w:rPr>
        <w:t xml:space="preserve">Důkaz:</w:t>
      </w:r>
    </w:p>
    <w:p w:rsidR="00000000" w:rsidDel="00000000" w:rsidP="00000000" w:rsidRDefault="00000000" w:rsidRPr="00000000" w14:paraId="00000058">
      <w:pPr>
        <w:jc w:val="both"/>
        <w:rPr>
          <w:rFonts w:ascii="Garamond" w:cs="Garamond" w:eastAsia="Garamond" w:hAnsi="Garamond"/>
          <w:i w:val="1"/>
          <w:iCs w:val="1"/>
          <w:sz w:val="24"/>
          <w:szCs w:val="24"/>
        </w:rPr>
      </w:pPr>
      <w:r w:rsidDel="00000000" w:rsidR="00000000" w:rsidRPr="00000000">
        <w:rPr>
          <w:rFonts w:ascii="Garamond" w:cs="Garamond" w:eastAsia="Garamond" w:hAnsi="Garamond"/>
          <w:i w:val="1"/>
          <w:iCs w:val="1"/>
          <w:sz w:val="24"/>
          <w:szCs w:val="24"/>
          <w:rtl w:val="0"/>
        </w:rPr>
        <w:t xml:space="preserve">Přehled výkonosti předsedů soudů vypracovaný Spolkem řadových soudců. </w:t>
      </w:r>
    </w:p>
    <w:p w:rsidR="00000000" w:rsidDel="00000000" w:rsidP="00000000" w:rsidRDefault="00000000" w:rsidRPr="00000000" w14:paraId="00000059">
      <w:pPr>
        <w:jc w:val="both"/>
        <w:rPr>
          <w:rFonts w:ascii="Garamond" w:cs="Garamond" w:eastAsia="Garamond" w:hAnsi="Garamond"/>
          <w:i w:val="1"/>
          <w:iCs w:val="1"/>
          <w:sz w:val="24"/>
          <w:szCs w:val="24"/>
        </w:rPr>
      </w:pPr>
      <w:r w:rsidDel="00000000" w:rsidR="00000000" w:rsidRPr="00000000">
        <w:rPr>
          <w:rFonts w:ascii="Garamond" w:cs="Garamond" w:eastAsia="Garamond" w:hAnsi="Garamond"/>
          <w:i w:val="1"/>
          <w:iCs w:val="1"/>
          <w:sz w:val="24"/>
          <w:szCs w:val="24"/>
          <w:rtl w:val="0"/>
        </w:rPr>
        <w:t xml:space="preserve">Případně jednotlivé odpovědi všech okresních soudů adresované Spolku řadových soudců (na výzvu soudu jsou žalobci připraveni uvedená sdělení soudu předložit, pakliže soud vyhoví důkaznímu návrhu žalobců)</w:t>
      </w:r>
    </w:p>
    <w:p w:rsidR="00000000" w:rsidDel="00000000" w:rsidP="00000000" w:rsidRDefault="00000000" w:rsidRPr="00000000" w14:paraId="0000005A">
      <w:pPr>
        <w:jc w:val="both"/>
        <w:rPr>
          <w:rFonts w:ascii="Garamond" w:cs="Garamond" w:eastAsia="Garamond" w:hAnsi="Garamond"/>
          <w:i w:val="1"/>
          <w:iCs w:val="1"/>
          <w:sz w:val="24"/>
          <w:szCs w:val="24"/>
        </w:rPr>
      </w:pPr>
      <w:r w:rsidDel="00000000" w:rsidR="00000000" w:rsidRPr="00000000">
        <w:rPr>
          <w:rtl w:val="0"/>
        </w:rPr>
      </w:r>
    </w:p>
    <w:p w:rsidR="00000000" w:rsidDel="00000000" w:rsidP="00000000" w:rsidRDefault="00000000" w:rsidRPr="00000000" w14:paraId="0000005B">
      <w:pPr>
        <w:jc w:val="both"/>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Hledisko dobré správy a systémový deficit řízení soudu</w:t>
      </w:r>
    </w:p>
    <w:p w:rsidR="00000000" w:rsidDel="00000000" w:rsidP="00000000" w:rsidRDefault="00000000" w:rsidRPr="00000000" w14:paraId="0000005C">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Předseda soudu je z titulu své funkce primus inter partes, prvním mezi kolegy soudci. Pro některé soudce je výkon funkcionářské činnosti kariérním postupem, za předsedu soudu by měl být jmenován soudce s výbornými profesními dovednostmi a zkušenostmi, které mu zajistí respekt kolegů a v důsledku konsenzuální přijímání opatření při řízení soudu. Součástí principu dobré správy v justici proto není pouze formální zákonnost, ale i odpovědné a přiměřené nastavení podmínek výkonu soudcovské funkce tak, aby předseda soudu nesl nejen pravomoci, ale i odpovědnost za jejich důsledky.</w:t>
      </w:r>
    </w:p>
    <w:p w:rsidR="00000000" w:rsidDel="00000000" w:rsidP="00000000" w:rsidRDefault="00000000" w:rsidRPr="00000000" w14:paraId="0000005D">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 dané věci žalovaný prosadil snížení nápadu do svého oddělení od počátku nástupu k Okresnímu soudu v Děčíně, a to opakovaně v rozporu se stanoviskem soudcovské rady Okresního soudu v Děčíně a kolegů. Otázka zvýšení nápadu v soudním oddělení předsedy soudu byla opakovaně diskutována z podnětu Soudcovské rady Okresního soudu v Děčíně i shromáždění soudců. Předseda soudu byl opakovaně vyzýván k přehodnocení stávajícího rozdělení nápadu. Tyto námitky …………………………… ignoroval, odmítnutí zvýšení svého nápadu odůvodňoval poukazem na tvrzené doporučení Ministerstva spravedlnosti k rozsahu soudcovské činnosti soudních funkcionářů.</w:t>
      </w:r>
    </w:p>
    <w:p w:rsidR="00000000" w:rsidDel="00000000" w:rsidP="00000000" w:rsidRDefault="00000000" w:rsidRPr="00000000" w14:paraId="0000005E">
      <w:pPr>
        <w:jc w:val="both"/>
        <w:rPr>
          <w:rFonts w:ascii="Garamond" w:cs="Garamond" w:eastAsia="Garamond" w:hAnsi="Garamond"/>
          <w:i w:val="1"/>
          <w:iCs w:val="1"/>
          <w:sz w:val="24"/>
          <w:szCs w:val="24"/>
        </w:rPr>
      </w:pPr>
      <w:r w:rsidDel="00000000" w:rsidR="00000000" w:rsidRPr="00000000">
        <w:rPr>
          <w:rFonts w:ascii="Garamond" w:cs="Garamond" w:eastAsia="Garamond" w:hAnsi="Garamond"/>
          <w:i w:val="1"/>
          <w:iCs w:val="1"/>
          <w:sz w:val="24"/>
          <w:szCs w:val="24"/>
          <w:rtl w:val="0"/>
        </w:rPr>
        <w:t xml:space="preserve">důkaz:</w:t>
      </w:r>
    </w:p>
    <w:p w:rsidR="00000000" w:rsidDel="00000000" w:rsidP="00000000" w:rsidRDefault="00000000" w:rsidRPr="00000000" w14:paraId="0000005F">
      <w:pPr>
        <w:jc w:val="both"/>
        <w:rPr>
          <w:rFonts w:ascii="Garamond" w:cs="Garamond" w:eastAsia="Garamond" w:hAnsi="Garamond"/>
          <w:i w:val="1"/>
          <w:iCs w:val="1"/>
          <w:sz w:val="24"/>
          <w:szCs w:val="24"/>
        </w:rPr>
      </w:pPr>
      <w:r w:rsidDel="00000000" w:rsidR="00000000" w:rsidRPr="00000000">
        <w:rPr>
          <w:rFonts w:ascii="Garamond" w:cs="Garamond" w:eastAsia="Garamond" w:hAnsi="Garamond"/>
          <w:i w:val="1"/>
          <w:iCs w:val="1"/>
          <w:sz w:val="24"/>
          <w:szCs w:val="24"/>
          <w:rtl w:val="0"/>
        </w:rPr>
        <w:t xml:space="preserve">Výslech …………………………………, předsedy soudcovské rady Okresního soudu v Děčíně</w:t>
      </w:r>
    </w:p>
    <w:p w:rsidR="00000000" w:rsidDel="00000000" w:rsidP="00000000" w:rsidRDefault="00000000" w:rsidRPr="00000000" w14:paraId="00000060">
      <w:pPr>
        <w:jc w:val="both"/>
        <w:rPr>
          <w:rFonts w:ascii="Garamond" w:cs="Garamond" w:eastAsia="Garamond" w:hAnsi="Garamond"/>
          <w:i w:val="1"/>
          <w:iCs w:val="1"/>
          <w:sz w:val="24"/>
          <w:szCs w:val="24"/>
        </w:rPr>
      </w:pPr>
      <w:r w:rsidDel="00000000" w:rsidR="00000000" w:rsidRPr="00000000">
        <w:rPr>
          <w:rFonts w:ascii="Garamond" w:cs="Garamond" w:eastAsia="Garamond" w:hAnsi="Garamond"/>
          <w:i w:val="1"/>
          <w:iCs w:val="1"/>
          <w:sz w:val="24"/>
          <w:szCs w:val="24"/>
          <w:rtl w:val="0"/>
        </w:rPr>
        <w:t xml:space="preserve">Případně vyjádření soudcovské rady k rozvrhům práce na rok 2024 a 2025, kde soudcovská rada navrhuje předsedovi zvýšení nápadu – žalobci žádají, aby si soud od soudcovské rady uvedená vyjádření vyžádal.</w:t>
      </w:r>
    </w:p>
    <w:p w:rsidR="00000000" w:rsidDel="00000000" w:rsidP="00000000" w:rsidRDefault="00000000" w:rsidRPr="00000000" w14:paraId="00000061">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Důsledkem tohoto modelu je, že předseda soudu je pouze v omezeném rozsahu vystaven každodenní rozhodovací agendě civilního úseku. V situaci, kdy plný nápad civilního soudce v roce 2024 představoval přibližně 40 věcí měsíčně a dlouhodobě převyšoval celorepublikový průměr, znamená stanovení vlastního nápadu na 25 %, že předseda soudu nenese v plné míře praktické důsledky zvýšené zatíženosti soudu. Nadměrná zátěž civilního úseku se jej osobně dotýká jen omezeně, a nepůsobí tak jako přirozený impuls k hledání systémových, personálních či organizačních řešení.</w:t>
      </w:r>
    </w:p>
    <w:p w:rsidR="00000000" w:rsidDel="00000000" w:rsidP="00000000" w:rsidRDefault="00000000" w:rsidRPr="00000000" w14:paraId="00000062">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Vzniká tím strukturální deficit řízení soudu, spočívající v oddělení rozhodovací pravomoci o rozdělení práce od osobní odpovědnosti za její důsledky. Zvýšený nápad není řešen koncepčními opatřeními, nýbrž faktickým přenesením jeho důsledků na ostatní soudce. Naposledy se přístup …………………. projevil ve svévolném zastavení nápadu věcí P do soudního oddělení č. 17 s účinností od 1. 3. 2026 (viz dodatek č. 1 k rozvrhu práce pro rok 2026) přes nesouhlasné stanovisko soudcovské rady, v jehož důsledku ………………………….. opět opakovaně přenáší důsledky z vlastního manažerského selhání na kolegy.</w:t>
      </w:r>
    </w:p>
    <w:p w:rsidR="00000000" w:rsidDel="00000000" w:rsidP="00000000" w:rsidRDefault="00000000" w:rsidRPr="00000000" w14:paraId="00000063">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Popsaný postup je v rozporu se smyslem zákonné povinnosti předsedy soudu dbát o rovnoměrné pracovní zatížení soudních oddělení a současně prohlubuje vnitřní tlak na žalobce. Nejde tedy pouze o kvantitativní navýšení jejich pracovní zátěže, ale o systémové nastavení, které je způsobilé dlouhodobě oslabovat institucionální rovnováhu uvnitř soudu a narušovat princip odpovědného výkonu soudní správy.</w:t>
      </w:r>
    </w:p>
    <w:p w:rsidR="00000000" w:rsidDel="00000000" w:rsidP="00000000" w:rsidRDefault="00000000" w:rsidRPr="00000000" w14:paraId="00000064">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65">
      <w:pPr>
        <w:spacing w:after="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VII.</w:t>
      </w:r>
    </w:p>
    <w:p w:rsidR="00000000" w:rsidDel="00000000" w:rsidP="00000000" w:rsidRDefault="00000000" w:rsidRPr="00000000" w14:paraId="00000066">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Konkrétní dopad do pracovního zatížení žalobců</w:t>
      </w:r>
    </w:p>
    <w:p w:rsidR="00000000" w:rsidDel="00000000" w:rsidP="00000000" w:rsidRDefault="00000000" w:rsidRPr="00000000" w14:paraId="00000067">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 roce 2024 napadlo Okresnímu soudu v Děčíně v rejstříku C celkem 4 650 věcí. Předsedovi soudu, jehož nápad v rejstříku C byl dle rozvrhu práce stanoven ve výši 25 %, napadlo 121 věcí, zatímco ostatním soudcům napadlo celkem 4 529 věcí. Při tomto nastavení odpovídal 100% nápad v rejstříku C u jednoho soudce průměrně 470 věcem, které byly rozděleny mezi 9,63soudce s plným nápadem mimo předsedu soudu.</w:t>
      </w:r>
    </w:p>
    <w:p w:rsidR="00000000" w:rsidDel="00000000" w:rsidP="00000000" w:rsidRDefault="00000000" w:rsidRPr="00000000" w14:paraId="00000068">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Pokud by předseda soudu vykonával soudcovskou činnost v plném rozsahu, rozdělilo by se všech 4 650 věcí mezi 10,63 soudce, přičemž 100% nápad v rejstříku C by v takovém případě odpovídal přibližně 437 věcem na jednoho soudce. Rozdíl mezi oběma variantami představuje objektivní navýšení nápadu ostatních soudců v důsledku sníženého nápadu předsedy soudu. V roce 2025 působili na civilním úseku 2 soudci se 100% nápadem, 2 soudci s 90 % nápadem, 4 soudci s 50 % nápadem, dále jeden soudce s 90 % nápadem po dobu dvou měsíců, 1 soudce s 90 % nápadem po dobu 4 měsíců, 1 soudce s 50% nápadem po dobu 8 měsíců, jeden soudce s 50 % nápadem po dobu 4 měsíců a 100% nápadem po dobu 8 měsíců, jeden soudce se 100 % nápadem po dobu 8 měsíců, 1 soudce s nápadem 50 % po dobu 3 měsíců a 90 % po dobu 9 měsíců a 1 soudce s nápadem 90 % po dobu 11 měsíců, což odpovídá v průměru na 9,63 soudce za celý rok.</w:t>
      </w:r>
    </w:p>
    <w:p w:rsidR="00000000" w:rsidDel="00000000" w:rsidP="00000000" w:rsidRDefault="00000000" w:rsidRPr="00000000" w14:paraId="00000069">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Žalobcům JUDr. Klapkovi a JUDr. Kapitánovi napadlo v roce 2024 každému 243 věcí v rejstříku C, přičemž oba měli dle rozvrhu práce stanoven nápad v tomto rejstříku ve výši 50 %. U JUDr. Klapky byl zbytek pracovní kapacity věnován opatrovnické agendě, u JUDr. Kapitána agendě exekuční. Pokud by předseda soudu soudil se 100% nápadem, odpovídal by jejich 50% nápad v rejstříku C přibližně 219 věcem, tedy o 24 věci méně u každého z nich, což odpovídá 119 % jednomu jejich měsíčnímu aktuální nápadu.</w:t>
      </w:r>
    </w:p>
    <w:p w:rsidR="00000000" w:rsidDel="00000000" w:rsidP="00000000" w:rsidRDefault="00000000" w:rsidRPr="00000000" w14:paraId="0000006A">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 roce 2025 napadlo Okresnímu soudu v Děčíně v rejstříku C celkem 4 681 věcí. Předsedovi soudu, jehož nápad v rejstříku C byl dle rozvrhu práce stanoven ve výši 25 %, napadlo 112 věcí, zatímco ostatním soudcům napadlo celkem 4 569 věcí. Při tomto nastavení odpovídal 100% nápad v rejstříku C u jednoho soudce průměrně 454 věcem, které byly rozděleny mezi 10,07 soudce s plným nápadem mimo předsedu soudu (Na soudu působilo v roce 2025 působilo v rejstříku C 7 soudců se 100% nápadem, 4 soudci s 50 % nápadem a jeden soudce s 90 % nápadem, v únoru pak nastoupil osmý soudce se 100 % nápadem, tomu odpovídá za rok v průměru 10,07 soudce se 100 % nápadem mimo předsedu soudu)</w:t>
      </w:r>
    </w:p>
    <w:p w:rsidR="00000000" w:rsidDel="00000000" w:rsidP="00000000" w:rsidRDefault="00000000" w:rsidRPr="00000000" w14:paraId="0000006B">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Pokud by předseda soudu vykonával soudcovskou činnost v plném rozsahu, rozdělilo by se všech 4 681 věcí mezi 11,07 soudce, přičemž 100% nápad v rejstříku C by v takovém případě odpovídal přibližně 423 věcem na jednoho soudce. Rozdíl mezi oběma variantami představuje objektivní navýšení nápadu ostatních soudců v důsledku sníženého nápadu předsedy soudu.</w:t>
      </w:r>
    </w:p>
    <w:p w:rsidR="00000000" w:rsidDel="00000000" w:rsidP="00000000" w:rsidRDefault="00000000" w:rsidRPr="00000000" w14:paraId="0000006C">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Žalobci JUDr. Kapitánovi napadlo v roce 2025 v rejstříku C 224 věcí, přičemž měl stanoven nápad v tomto rejstříku ve výši 50 %, zbylých 50 % tvořil nápad exekuční. Pokud by předseda soudu soudil se 100% nápadem, odpovídal by jeho 50% nápad v rejstříku C přibližně 212 věcem, tedy o 12 věcí méně, což odpovídá 64 % nápadu věcí za jeden měsíc.</w:t>
      </w:r>
    </w:p>
    <w:p w:rsidR="00000000" w:rsidDel="00000000" w:rsidP="00000000" w:rsidRDefault="00000000" w:rsidRPr="00000000" w14:paraId="0000006D">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Žalobci JUDr. Klapkovi napadlo v roce 2025 v rejstříku C 447 věcí, přičemž měl stanoven nápad v tomto rejstříku ve výši 100 %. Pokud by předseda soudu soudil se 100% nápadem, odpovídal by jeho 100 % nápad v rejstříku C přibližně 423 věcem, tedy o 24 věcí méně, což odpovídá 64 % nápadu věcí za jeden měsíc.</w:t>
      </w:r>
    </w:p>
    <w:p w:rsidR="00000000" w:rsidDel="00000000" w:rsidP="00000000" w:rsidRDefault="00000000" w:rsidRPr="00000000" w14:paraId="0000006E">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Tento nárůst pracovního zatížení představuje konkrétní, měřitelný a nikoli zanedbatelný zásah do jejich subjektivního práva na nerušený výkon soudcovské funkce, neboť zvýšený objem rozhodovací činnosti se bezprostředně promítl do rozsahu času, který byli žalobci povinni výkonu soudcovské funkce věnovat.</w:t>
      </w:r>
    </w:p>
    <w:p w:rsidR="00000000" w:rsidDel="00000000" w:rsidP="00000000" w:rsidRDefault="00000000" w:rsidRPr="00000000" w14:paraId="0000006F">
      <w:pPr>
        <w:spacing w:after="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VIII.</w:t>
      </w:r>
    </w:p>
    <w:p w:rsidR="00000000" w:rsidDel="00000000" w:rsidP="00000000" w:rsidRDefault="00000000" w:rsidRPr="00000000" w14:paraId="00000070">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Shrnutí intenzity zásahu a žalobní petit</w:t>
      </w:r>
    </w:p>
    <w:p w:rsidR="00000000" w:rsidDel="00000000" w:rsidP="00000000" w:rsidRDefault="00000000" w:rsidRPr="00000000" w14:paraId="00000071">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Způsob, jakým byl rozvrh práce nastaven, vedl k dlouhodobému a měřitelnému zvýšení pracovního zatížení žalobců, aniž by k tomu existoval zákonný, výjimečný a časově omezený důvod. Nejedná se proto o běžné organizační opatření, ale o trvající zásah, který má systémové dopady na výkon soudnictví a institucionální nezávislost soudců.</w:t>
      </w:r>
    </w:p>
    <w:p w:rsidR="00000000" w:rsidDel="00000000" w:rsidP="00000000" w:rsidRDefault="00000000" w:rsidRPr="00000000" w14:paraId="00000072">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Z výše uvedených důvodů jsou žalobci názoru, že s funkcí předsedy soudu není spojen legální důsledek spočívající ve snížení nápadu do soudního oddělení předsedy soudu, který nepřestává být soudcem ani není ze zákona jeho funkce soudce omezena či pozastavena. Omezení nápadu věcí do určitého soudního oddělení je sice možné, ovšem pouze z důvodů výjimečných, přechodných a časově omezených (nemoc, závažná rodinná situace soudce, převzetí zatíženého senátu apod.). Žádný takový důvod ve vztahu k žalovanému však není dán. Diskrece předsedy soudu je limitována zákonem a ústavními principy rovnosti a zákazu libovůle při výkonu veřejné moci. Trvalé a systémové snížení nápadu bez časového omezení a bez existence výjimečných okolností je proto v rozporu se zákonem.</w:t>
      </w:r>
    </w:p>
    <w:p w:rsidR="00000000" w:rsidDel="00000000" w:rsidP="00000000" w:rsidRDefault="00000000" w:rsidRPr="00000000" w14:paraId="00000073">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Žalobci proto navrhují, aby soud rozhodl takto:</w:t>
      </w:r>
    </w:p>
    <w:p w:rsidR="00000000" w:rsidDel="00000000" w:rsidP="00000000" w:rsidRDefault="00000000" w:rsidRPr="00000000" w14:paraId="00000074">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Žalovanému se zakazuje pokračovat v porušování práv žalobců trvalým snížením nápadu do soudního oddělení č. 26 ve věcech občanskoprávních, ve věcech Nc – oddíl všeobecné a ve věcech Nc - oddíl všeobecné specializace JINÝ SOUDCE na 25 %, zatímco nápad do soudního oddělení č. 27 je uvedených věcech 100 % a nápad do soudního oddělení č. 32 je v uvedených věcech 50% a ve věcech exekučních 50 %.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80" w:right="0" w:firstLine="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JUDr. Štěpán Klapka</w:t>
      </w:r>
    </w:p>
    <w:p w:rsidR="00000000" w:rsidDel="00000000" w:rsidP="00000000" w:rsidRDefault="00000000" w:rsidRPr="00000000" w14:paraId="00000077">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78">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JUDr. David Kapitán</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c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app.beck-online.cz/bo/document-view.seam?documentId=njptembqg5pws5s7ovzv6mrtgizq&amp;refSource=text" TargetMode="External"/><Relationship Id="rId10" Type="http://schemas.openxmlformats.org/officeDocument/2006/relationships/hyperlink" Target="https://app.beck-online.cz/bo/document-view.seam?documentId=njptembrgrptcx3bonptcnjrl4zdg&amp;refSource=text" TargetMode="External"/><Relationship Id="rId9" Type="http://schemas.openxmlformats.org/officeDocument/2006/relationships/hyperlink" Target="https://app.beck-online.cz/bo/document-view.seam?documentId=njptembrgrptcmc7mfthgxzshbptkmi&amp;refSource=tex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pp.beck-online.cz/bo/document-view.seam?documentId=onrf6mrqgazf6mjvgaxhazrygq&amp;refSource=text" TargetMode="External"/><Relationship Id="rId8" Type="http://schemas.openxmlformats.org/officeDocument/2006/relationships/hyperlink" Target="https://app.beck-online.cz/bo/document-view.seam?documentId=njptembrgnptmx3bobzv6mk7guyq&amp;refSource=tex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bQ1iXdCAQpnkFfWuOjPZxnt2cg==">CgMxLjA4AHIhMVdiNG03dGdoLUprazZPejRSczVMUVdhSG5jS25NOGM5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