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ind w:left="0" w:firstLine="0"/>
        <w:jc w:val="both"/>
        <w:rPr>
          <w:b w:val="1"/>
        </w:rPr>
      </w:pPr>
      <w:r w:rsidDel="00000000" w:rsidR="00000000" w:rsidRPr="00000000">
        <w:rPr>
          <w:b w:val="1"/>
          <w:rtl w:val="0"/>
        </w:rPr>
        <w:t xml:space="preserve">Okresní soud v ……</w:t>
      </w:r>
    </w:p>
    <w:p w:rsidR="00000000" w:rsidDel="00000000" w:rsidP="00000000" w:rsidRDefault="00000000" w:rsidRPr="00000000" w14:paraId="00000002">
      <w:pPr>
        <w:spacing w:after="0" w:lineRule="auto"/>
        <w:ind w:left="0" w:firstLine="0"/>
        <w:jc w:val="both"/>
        <w:rPr/>
      </w:pPr>
      <w:r w:rsidDel="00000000" w:rsidR="00000000" w:rsidRPr="00000000">
        <w:rPr>
          <w:rtl w:val="0"/>
        </w:rPr>
        <w:t xml:space="preserve">…………………..</w:t>
      </w:r>
    </w:p>
    <w:p w:rsidR="00000000" w:rsidDel="00000000" w:rsidP="00000000" w:rsidRDefault="00000000" w:rsidRPr="00000000" w14:paraId="00000003">
      <w:pPr>
        <w:spacing w:after="0" w:lineRule="auto"/>
        <w:ind w:left="0" w:firstLine="0"/>
        <w:jc w:val="both"/>
        <w:rPr/>
      </w:pPr>
      <w:r w:rsidDel="00000000" w:rsidR="00000000" w:rsidRPr="00000000">
        <w:rPr>
          <w:rtl w:val="0"/>
        </w:rPr>
        <w:t xml:space="preserve">…………………</w:t>
      </w:r>
    </w:p>
    <w:p w:rsidR="00000000" w:rsidDel="00000000" w:rsidP="00000000" w:rsidRDefault="00000000" w:rsidRPr="00000000" w14:paraId="00000004">
      <w:pPr>
        <w:spacing w:after="0" w:lineRule="auto"/>
        <w:ind w:left="0" w:firstLine="0"/>
        <w:jc w:val="both"/>
        <w:rPr/>
      </w:pPr>
      <w:r w:rsidDel="00000000" w:rsidR="00000000" w:rsidRPr="00000000">
        <w:rPr>
          <w:rtl w:val="0"/>
        </w:rPr>
      </w:r>
    </w:p>
    <w:p w:rsidR="00000000" w:rsidDel="00000000" w:rsidP="00000000" w:rsidRDefault="00000000" w:rsidRPr="00000000" w14:paraId="00000005">
      <w:pPr>
        <w:spacing w:after="0" w:lineRule="auto"/>
        <w:ind w:left="0" w:firstLine="0"/>
        <w:jc w:val="both"/>
        <w:rPr/>
      </w:pPr>
      <w:r w:rsidDel="00000000" w:rsidR="00000000" w:rsidRPr="00000000">
        <w:rPr>
          <w:rtl w:val="0"/>
        </w:rPr>
      </w:r>
    </w:p>
    <w:p w:rsidR="00000000" w:rsidDel="00000000" w:rsidP="00000000" w:rsidRDefault="00000000" w:rsidRPr="00000000" w14:paraId="00000006">
      <w:pPr>
        <w:spacing w:after="0" w:lineRule="auto"/>
        <w:ind w:left="0" w:firstLine="0"/>
        <w:jc w:val="both"/>
        <w:rPr/>
      </w:pPr>
      <w:r w:rsidDel="00000000" w:rsidR="00000000" w:rsidRPr="00000000">
        <w:rPr>
          <w:rtl w:val="0"/>
        </w:rPr>
        <w:t xml:space="preserve">Žalobce:</w:t>
        <w:tab/>
      </w:r>
      <w:r w:rsidDel="00000000" w:rsidR="00000000" w:rsidRPr="00000000">
        <w:rPr>
          <w:b w:val="1"/>
          <w:rtl w:val="0"/>
        </w:rPr>
        <w:t xml:space="preserve">……………………………</w:t>
      </w:r>
      <w:r w:rsidDel="00000000" w:rsidR="00000000" w:rsidRPr="00000000">
        <w:rPr>
          <w:rtl w:val="0"/>
        </w:rPr>
      </w:r>
    </w:p>
    <w:p w:rsidR="00000000" w:rsidDel="00000000" w:rsidP="00000000" w:rsidRDefault="00000000" w:rsidRPr="00000000" w14:paraId="00000007">
      <w:pPr>
        <w:spacing w:after="0" w:lineRule="auto"/>
        <w:ind w:left="0" w:firstLine="0"/>
        <w:jc w:val="both"/>
        <w:rPr/>
      </w:pPr>
      <w:r w:rsidDel="00000000" w:rsidR="00000000" w:rsidRPr="00000000">
        <w:rPr>
          <w:rtl w:val="0"/>
        </w:rPr>
        <w:tab/>
        <w:tab/>
      </w:r>
    </w:p>
    <w:p w:rsidR="00000000" w:rsidDel="00000000" w:rsidP="00000000" w:rsidRDefault="00000000" w:rsidRPr="00000000" w14:paraId="00000008">
      <w:pPr>
        <w:spacing w:after="0" w:lineRule="auto"/>
        <w:ind w:left="0" w:firstLine="0"/>
        <w:jc w:val="both"/>
        <w:rPr/>
      </w:pPr>
      <w:r w:rsidDel="00000000" w:rsidR="00000000" w:rsidRPr="00000000">
        <w:rPr>
          <w:rtl w:val="0"/>
        </w:rPr>
      </w:r>
    </w:p>
    <w:p w:rsidR="00000000" w:rsidDel="00000000" w:rsidP="00000000" w:rsidRDefault="00000000" w:rsidRPr="00000000" w14:paraId="00000009">
      <w:pPr>
        <w:spacing w:after="0" w:lineRule="auto"/>
        <w:ind w:left="0" w:firstLine="0"/>
        <w:jc w:val="both"/>
        <w:rPr/>
      </w:pPr>
      <w:r w:rsidDel="00000000" w:rsidR="00000000" w:rsidRPr="00000000">
        <w:rPr>
          <w:rtl w:val="0"/>
        </w:rPr>
      </w:r>
    </w:p>
    <w:p w:rsidR="00000000" w:rsidDel="00000000" w:rsidP="00000000" w:rsidRDefault="00000000" w:rsidRPr="00000000" w14:paraId="0000000A">
      <w:pPr>
        <w:spacing w:after="0" w:lineRule="auto"/>
        <w:ind w:left="0" w:firstLine="0"/>
        <w:jc w:val="both"/>
        <w:rPr/>
      </w:pPr>
      <w:r w:rsidDel="00000000" w:rsidR="00000000" w:rsidRPr="00000000">
        <w:rPr>
          <w:rtl w:val="0"/>
        </w:rPr>
        <w:t xml:space="preserve">žalovaná:</w:t>
        <w:tab/>
      </w:r>
      <w:r w:rsidDel="00000000" w:rsidR="00000000" w:rsidRPr="00000000">
        <w:rPr>
          <w:b w:val="1"/>
          <w:rtl w:val="0"/>
        </w:rPr>
        <w:t xml:space="preserve">Česká republika – Okresní soud v Děčíně</w:t>
      </w:r>
      <w:r w:rsidDel="00000000" w:rsidR="00000000" w:rsidRPr="00000000">
        <w:rPr>
          <w:rtl w:val="0"/>
        </w:rPr>
      </w:r>
    </w:p>
    <w:p w:rsidR="00000000" w:rsidDel="00000000" w:rsidP="00000000" w:rsidRDefault="00000000" w:rsidRPr="00000000" w14:paraId="0000000B">
      <w:pPr>
        <w:spacing w:after="0" w:lineRule="auto"/>
        <w:ind w:left="0" w:firstLine="0"/>
        <w:jc w:val="both"/>
        <w:rPr/>
      </w:pPr>
      <w:r w:rsidDel="00000000" w:rsidR="00000000" w:rsidRPr="00000000">
        <w:rPr>
          <w:rtl w:val="0"/>
        </w:rPr>
        <w:t xml:space="preserve">IČO 00024830, sídlem Masarykovo nám. 1, 405 97  Děčín I</w:t>
      </w:r>
    </w:p>
    <w:p w:rsidR="00000000" w:rsidDel="00000000" w:rsidP="00000000" w:rsidRDefault="00000000" w:rsidRPr="00000000" w14:paraId="0000000C">
      <w:pPr>
        <w:spacing w:after="0" w:lineRule="auto"/>
        <w:ind w:left="0" w:firstLine="0"/>
        <w:jc w:val="both"/>
        <w:rPr/>
      </w:pPr>
      <w:r w:rsidDel="00000000" w:rsidR="00000000" w:rsidRPr="00000000">
        <w:rPr>
          <w:rtl w:val="0"/>
        </w:rPr>
      </w:r>
    </w:p>
    <w:p w:rsidR="00000000" w:rsidDel="00000000" w:rsidP="00000000" w:rsidRDefault="00000000" w:rsidRPr="00000000" w14:paraId="0000000D">
      <w:pPr>
        <w:spacing w:after="0" w:lineRule="auto"/>
        <w:ind w:left="0" w:firstLine="0"/>
        <w:jc w:val="both"/>
        <w:rPr>
          <w:b w:val="1"/>
        </w:rPr>
      </w:pPr>
      <w:r w:rsidDel="00000000" w:rsidR="00000000" w:rsidRPr="00000000">
        <w:rPr>
          <w:b w:val="1"/>
          <w:rtl w:val="0"/>
        </w:rPr>
        <w:t xml:space="preserve">Žaloba o …………….. Kč s příslušenstvím </w:t>
      </w:r>
    </w:p>
    <w:p w:rsidR="00000000" w:rsidDel="00000000" w:rsidP="00000000" w:rsidRDefault="00000000" w:rsidRPr="00000000" w14:paraId="0000000E">
      <w:pPr>
        <w:spacing w:after="0" w:lineRule="auto"/>
        <w:ind w:left="0" w:firstLine="0"/>
        <w:jc w:val="both"/>
        <w:rPr>
          <w:b w:val="1"/>
          <w:sz w:val="23"/>
          <w:szCs w:val="23"/>
        </w:rPr>
      </w:pPr>
      <w:r w:rsidDel="00000000" w:rsidR="00000000" w:rsidRPr="00000000">
        <w:rPr>
          <w:b w:val="1"/>
          <w:sz w:val="23"/>
          <w:szCs w:val="23"/>
          <w:rtl w:val="0"/>
        </w:rPr>
        <w:t xml:space="preserve">(doplatek platu a víceúčelové paušální náhrady výdajů za únor 2025) </w:t>
      </w:r>
    </w:p>
    <w:p w:rsidR="00000000" w:rsidDel="00000000" w:rsidP="00000000" w:rsidRDefault="00000000" w:rsidRPr="00000000" w14:paraId="0000000F">
      <w:pPr>
        <w:spacing w:after="0" w:lineRule="auto"/>
        <w:ind w:left="0" w:firstLine="0"/>
        <w:jc w:val="both"/>
        <w:rPr>
          <w:b w:val="1"/>
          <w:sz w:val="23"/>
          <w:szCs w:val="23"/>
        </w:rPr>
      </w:pPr>
      <w:r w:rsidDel="00000000" w:rsidR="00000000" w:rsidRPr="00000000">
        <w:rPr>
          <w:rtl w:val="0"/>
        </w:rPr>
      </w:r>
    </w:p>
    <w:p w:rsidR="00000000" w:rsidDel="00000000" w:rsidP="00000000" w:rsidRDefault="00000000" w:rsidRPr="00000000" w14:paraId="00000010">
      <w:pPr>
        <w:spacing w:after="0" w:lineRule="auto"/>
        <w:ind w:left="0" w:firstLine="0"/>
        <w:jc w:val="both"/>
        <w:rPr>
          <w:b w:val="1"/>
        </w:rPr>
      </w:pPr>
      <w:r w:rsidDel="00000000" w:rsidR="00000000" w:rsidRPr="00000000">
        <w:rPr>
          <w:b w:val="1"/>
          <w:rtl w:val="0"/>
        </w:rPr>
        <w:t xml:space="preserve">Návrh na přerušení řízení</w:t>
      </w:r>
    </w:p>
    <w:p w:rsidR="00000000" w:rsidDel="00000000" w:rsidP="00000000" w:rsidRDefault="00000000" w:rsidRPr="00000000" w14:paraId="00000011">
      <w:pPr>
        <w:spacing w:after="0" w:lineRule="auto"/>
        <w:ind w:left="0" w:firstLine="0"/>
        <w:jc w:val="both"/>
        <w:rPr>
          <w:u w:val="single"/>
        </w:rPr>
      </w:pPr>
      <w:r w:rsidDel="00000000" w:rsidR="00000000" w:rsidRPr="00000000">
        <w:rPr>
          <w:rtl w:val="0"/>
        </w:rPr>
      </w:r>
    </w:p>
    <w:p w:rsidR="00000000" w:rsidDel="00000000" w:rsidP="00000000" w:rsidRDefault="00000000" w:rsidRPr="00000000" w14:paraId="00000012">
      <w:pPr>
        <w:spacing w:after="120" w:before="240" w:line="240" w:lineRule="auto"/>
        <w:ind w:left="0" w:firstLine="0"/>
        <w:jc w:val="center"/>
        <w:rPr>
          <w:b w:val="1"/>
        </w:rPr>
      </w:pPr>
      <w:r w:rsidDel="00000000" w:rsidR="00000000" w:rsidRPr="00000000">
        <w:rPr>
          <w:b w:val="1"/>
          <w:rtl w:val="0"/>
        </w:rPr>
        <w:t xml:space="preserve">I.</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s>
        <w:spacing w:after="120" w:before="24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Žalobce je soudcem Okresního soudu v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s>
        <w:spacing w:after="120" w:before="12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Plat žalobce je určen jako součin platové základny a platového koeficientu, který se stanoví podle počtu let započtené doby podle § 28 zákona č. 236/1995 Sb. Platový koeficient žalobce činí s ohledem na délku započtené doby („od počátku …….. roku“)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s>
        <w:spacing w:after="120" w:before="12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Plat žalobce za leden 2025, vyplacený v relaci s 3násobkem průměrné mzdy za rok 2023, činil ………………. Kč a paušální náhrada výdajů …………… Kč.</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s>
        <w:spacing w:after="120" w:before="12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V důsledku změny zákona č. 236/1995 Sb., o platu a dalších náležitostech spojených s výkonem funkce představitelů státní moci a některých státních orgánů a soudců a poslanců Evropského parlamentu, provedené zákonem č. 57/2025 Sb., došlo retroaktivně od 1. 1. 2025 ke snížení platu soudců z 3násobku průměrné hrubé měsíční nominální mzdy na 2,822 násobek a ke snížení náhrady výdajů. K uvedené modifikaci došlo vymezením konkrétní výše platové základny pro soudce pro rok 2025 na částku 121 685 Kč (§ 4 zákona). Tím došlo ke „zmrazení“ platu soudců na úroveň roku 2024. Žalobci byl podle tohoto zákona za únor 2025 vyplacen plat ve výši …………… Kč a víceúčelová paušální náhradu výdajů ve výši …………. Kč.</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s>
        <w:spacing w:after="120" w:before="12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Nebýt uvedeného zásahu, činil by plat žalobce za únor 2025 …………. Kč a paušální náhrada výdajů …………. Kč. Průměrná hrubá měsíční nominální mzda na přepočtené počty zaměstnanců v národním hospodářství za kalendářní rok 2023 činila podle údaje zveřejněného Českým statistickým úřadem částku 43 120 Kč. Plat žalobce za únor roku 2025 by se určil jako součin platové základny (129 360 Kč) a platového koeficientu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s>
        <w:spacing w:after="120" w:before="12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Rozdíl mezi vyplaceným platem žalobce za únor 2025 a platem odpovídajícím 3násobku průměrné hrubé měsíční nominální mzdy na přepočtené počty zaměstnanců v národním hospodářství za kalendářní rok 2023 činí ………….. Kč (snížení o 6 %). Částka ……… Kč je rozdílem platů, částka …………. Kč rozdílem paušálních náhrad výdajů.</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s>
        <w:spacing w:after="120" w:before="12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s>
        <w:spacing w:after="0" w:before="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důkaz:</w:t>
      </w:r>
    </w:p>
    <w:p w:rsidR="00000000" w:rsidDel="00000000" w:rsidP="00000000" w:rsidRDefault="00000000" w:rsidRPr="00000000" w14:paraId="000000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08"/>
        </w:tabs>
        <w:spacing w:after="0" w:before="0" w:line="240" w:lineRule="auto"/>
        <w:ind w:left="0" w:right="0" w:firstLine="0"/>
        <w:jc w:val="both"/>
        <w:rPr>
          <w:rFonts w:ascii="Garamond" w:cs="Garamond" w:eastAsia="Garamond" w:hAnsi="Garamond"/>
          <w:b w:val="0"/>
          <w:i w:val="1"/>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platové opatření ze dne 31. 12. 2024</w:t>
      </w:r>
    </w:p>
    <w:p w:rsidR="00000000" w:rsidDel="00000000" w:rsidP="00000000" w:rsidRDefault="00000000" w:rsidRPr="00000000" w14:paraId="0000001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08"/>
        </w:tabs>
        <w:spacing w:after="0" w:before="0" w:line="240" w:lineRule="auto"/>
        <w:ind w:left="0" w:right="0" w:firstLine="0"/>
        <w:jc w:val="both"/>
        <w:rPr>
          <w:rFonts w:ascii="Garamond" w:cs="Garamond" w:eastAsia="Garamond" w:hAnsi="Garamond"/>
          <w:b w:val="0"/>
          <w:i w:val="1"/>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Průměrná hrubá měsíční mzda a průměrný počet zaměstnanců – dostupné online : </w:t>
      </w:r>
      <w:hyperlink r:id="rId7">
        <w:r w:rsidDel="00000000" w:rsidR="00000000" w:rsidRPr="00000000">
          <w:rPr>
            <w:rFonts w:ascii="Garamond" w:cs="Garamond" w:eastAsia="Garamond" w:hAnsi="Garamond"/>
            <w:b w:val="0"/>
            <w:i w:val="1"/>
            <w:smallCaps w:val="0"/>
            <w:strike w:val="0"/>
            <w:color w:val="0000ff"/>
            <w:sz w:val="24"/>
            <w:szCs w:val="24"/>
            <w:u w:val="single"/>
            <w:shd w:fill="auto" w:val="clear"/>
            <w:vertAlign w:val="baseline"/>
            <w:rtl w:val="0"/>
          </w:rPr>
          <w:t xml:space="preserve">https://csu.gov.cz/docs/107508/5605f5f5-5f4d-c039-142d-3c1efeeea33e/pmzcr030625_1.xlsx?version=1.0</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s>
        <w:spacing w:after="120" w:before="120" w:line="240" w:lineRule="auto"/>
        <w:ind w:left="0" w:right="0" w:firstLine="0"/>
        <w:jc w:val="both"/>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s>
        <w:spacing w:after="120" w:before="120" w:line="240" w:lineRule="auto"/>
        <w:ind w:left="0" w:right="0" w:firstLine="0"/>
        <w:jc w:val="center"/>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II.</w:t>
      </w:r>
    </w:p>
    <w:p w:rsidR="00000000" w:rsidDel="00000000" w:rsidP="00000000" w:rsidRDefault="00000000" w:rsidRPr="00000000" w14:paraId="0000001F">
      <w:pPr>
        <w:spacing w:after="120" w:before="240" w:lineRule="auto"/>
        <w:ind w:left="0" w:firstLine="0"/>
        <w:jc w:val="center"/>
        <w:rPr/>
      </w:pPr>
      <w:r w:rsidDel="00000000" w:rsidR="00000000" w:rsidRPr="00000000">
        <w:rPr>
          <w:b w:val="1"/>
          <w:rtl w:val="0"/>
        </w:rPr>
        <w:t xml:space="preserve">Neústavnost platové restrikce</w:t>
      </w:r>
      <w:r w:rsidDel="00000000" w:rsidR="00000000" w:rsidRPr="00000000">
        <w:rPr>
          <w:rtl w:val="0"/>
        </w:rPr>
      </w:r>
    </w:p>
    <w:p w:rsidR="00000000" w:rsidDel="00000000" w:rsidP="00000000" w:rsidRDefault="00000000" w:rsidRPr="00000000" w14:paraId="00000020">
      <w:pPr>
        <w:spacing w:after="120" w:before="240" w:line="240" w:lineRule="auto"/>
        <w:ind w:left="0" w:firstLine="0"/>
        <w:jc w:val="both"/>
        <w:rPr/>
      </w:pPr>
      <w:r w:rsidDel="00000000" w:rsidR="00000000" w:rsidRPr="00000000">
        <w:rPr>
          <w:rtl w:val="0"/>
        </w:rPr>
        <w:t xml:space="preserve">Z judikatury Ústavního soudu lze dovodit základní pravidla, jež musí být dodržena z hlediska ústavnosti zásahu do platu soudců:</w:t>
      </w:r>
    </w:p>
    <w:p w:rsidR="00000000" w:rsidDel="00000000" w:rsidP="00000000" w:rsidRDefault="00000000" w:rsidRPr="00000000" w14:paraId="00000021">
      <w:pPr>
        <w:spacing w:after="120" w:before="120" w:line="240" w:lineRule="auto"/>
        <w:ind w:left="0" w:firstLine="0"/>
        <w:jc w:val="both"/>
        <w:rPr/>
      </w:pPr>
      <w:r w:rsidDel="00000000" w:rsidR="00000000" w:rsidRPr="00000000">
        <w:rPr>
          <w:rtl w:val="0"/>
        </w:rPr>
        <w:t xml:space="preserve">- zásah do platu musí být výjimečným opatřením reflektujícím ekonomickou realitu státu (deficit státního rozpočtu, míru zadlužení). Výjimečnost se přitom posuzuje nejen ekonomickou situací státu, ale i předchozími platovými restrikcemi vůči soudcům, stejně tak i celkovým stavem materiálního zabezpečení soudců (daňovými hledisky, zabezpečením v nemoci). I za splnění těchto předpokladů musí být zohledněna odlišnost funkce soudců a představitelů moci zákonodárné a výkonné, zvláště pak státní správy.</w:t>
      </w:r>
    </w:p>
    <w:p w:rsidR="00000000" w:rsidDel="00000000" w:rsidP="00000000" w:rsidRDefault="00000000" w:rsidRPr="00000000" w14:paraId="00000022">
      <w:pPr>
        <w:spacing w:after="120" w:before="120" w:line="240" w:lineRule="auto"/>
        <w:ind w:left="0" w:firstLine="0"/>
        <w:jc w:val="both"/>
        <w:rPr/>
      </w:pPr>
      <w:r w:rsidDel="00000000" w:rsidR="00000000" w:rsidRPr="00000000">
        <w:rPr>
          <w:rtl w:val="0"/>
        </w:rPr>
        <w:t xml:space="preserve">- Platová restrikce se musí týkat všech skupin veřejných zaměstnanců, nikoli selektivně soudců.</w:t>
      </w:r>
    </w:p>
    <w:p w:rsidR="00000000" w:rsidDel="00000000" w:rsidP="00000000" w:rsidRDefault="00000000" w:rsidRPr="00000000" w14:paraId="00000023">
      <w:pPr>
        <w:spacing w:after="120" w:before="120" w:line="240" w:lineRule="auto"/>
        <w:ind w:left="0" w:firstLine="0"/>
        <w:jc w:val="both"/>
        <w:rPr/>
      </w:pPr>
      <w:r w:rsidDel="00000000" w:rsidR="00000000" w:rsidRPr="00000000">
        <w:rPr>
          <w:rtl w:val="0"/>
        </w:rPr>
        <w:t xml:space="preserve">- Zákonodárce je povinen konkrétní přijímanou platovou restrikci projednat s reprezentanty moci soudní, za dostačující Ústavní soud pokládá, je-li návrh zákona ve výše uvedeném smyslu projednán s předsedy Nejvyššího soudu, Nejvyššího správního soudu a se zájmovými organizacemi soudců.</w:t>
      </w:r>
    </w:p>
    <w:p w:rsidR="00000000" w:rsidDel="00000000" w:rsidP="00000000" w:rsidRDefault="00000000" w:rsidRPr="00000000" w14:paraId="00000024">
      <w:pPr>
        <w:spacing w:after="120" w:before="120" w:line="240" w:lineRule="auto"/>
        <w:ind w:left="0" w:firstLine="0"/>
        <w:jc w:val="both"/>
        <w:rPr/>
      </w:pPr>
      <w:r w:rsidDel="00000000" w:rsidR="00000000" w:rsidRPr="00000000">
        <w:rPr>
          <w:rtl w:val="0"/>
        </w:rPr>
        <w:t xml:space="preserve">- Zákonodárce je povinen řádně odůvodnit zásah do platů soudců, včetně komplexního ekonomického rozboru, z něhož budou patrny možnosti státního rozpočtu v návaznosti na hospodářskou situaci státu, a musí být poskytnuty řádné údaje o situaci v odměňování zejména vyšších státních úředníků a dalších osob s nejvyššími odměnami za práci poskytovanými ze státního rozpočtu. Jak Ústavní soud vyložil, není zcela nezbytné, aby stanovisko reprezentantů soudní moci bylo součástí důvodové zprávy. Nutné však je, aby se poslanci měli možnost seznámit se s tímto stanoviskem a s tím, jak bylo vypořádáno. </w:t>
      </w:r>
    </w:p>
    <w:p w:rsidR="00000000" w:rsidDel="00000000" w:rsidP="00000000" w:rsidRDefault="00000000" w:rsidRPr="00000000" w14:paraId="00000025">
      <w:pPr>
        <w:spacing w:after="120" w:before="120" w:line="240" w:lineRule="auto"/>
        <w:ind w:left="0" w:firstLine="0"/>
        <w:jc w:val="both"/>
        <w:rPr/>
      </w:pPr>
      <w:r w:rsidDel="00000000" w:rsidR="00000000" w:rsidRPr="00000000">
        <w:rPr>
          <w:rtl w:val="0"/>
        </w:rPr>
        <w:t xml:space="preserve">Platová restrikce zavedená zákonem č. 57/2025. Sb. je odůvodněna „dosažením zamýšlených úspor na výdajové straně státního rozpočtu“. Důvodová zpráva k zákonu uvádí, že k dosažení úspor se</w:t>
      </w: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t xml:space="preserve">stanovuje pro výpočet platových základen všech subjektů spadajících do osobní působnosti zákona č. 236/1995 Sb. zpomalení růstu platových základen alespoň v kalendářním roce 2025. Míra nárůstu výše platových základen od 1. ledna 2025 odpovídá nárůstu průměrné mzdy v národním hospodářství mezi roky 2022 a 2023 a činí 6,95 %. Podle důvodové zprávy panuje i v roce 2025 neuspokojivá rozpočtová situace, ve které všechny ostatní skupiny obyvatelstva státu čelí dopadům úsporných opatření plynoucích ze zákona č. 349/2023 Sb., kterým se mění některé zákony v souvislosti s konsolidací veřejných rozpočtů. V roce 2024 nadto došlo k mimořádným dodatečným dopadům na státní rozpočet i ostatní veřejné rozpočty v důsledku rozsáhlých povodní, s nimiž se musel stát i zemní samosprávy vypořádat.</w:t>
      </w:r>
    </w:p>
    <w:p w:rsidR="00000000" w:rsidDel="00000000" w:rsidP="00000000" w:rsidRDefault="00000000" w:rsidRPr="00000000" w14:paraId="00000026">
      <w:pPr>
        <w:spacing w:after="120" w:before="120" w:line="240" w:lineRule="auto"/>
        <w:ind w:left="0" w:firstLine="0"/>
        <w:jc w:val="both"/>
        <w:rPr/>
      </w:pPr>
      <w:r w:rsidDel="00000000" w:rsidR="00000000" w:rsidRPr="00000000">
        <w:rPr>
          <w:rtl w:val="0"/>
        </w:rPr>
        <w:t xml:space="preserve">Žalobce se domnívá, že okolnosti, způsob a zdůvodnění aktuálního zásahu do platu soudců nesplňují kritéria vymezená judikaturou Ústavního soudu a představují jejich přímé popření. </w:t>
      </w:r>
    </w:p>
    <w:p w:rsidR="00000000" w:rsidDel="00000000" w:rsidP="00000000" w:rsidRDefault="00000000" w:rsidRPr="00000000" w14:paraId="00000027">
      <w:pPr>
        <w:spacing w:after="120" w:before="120" w:line="240" w:lineRule="auto"/>
        <w:ind w:left="0" w:firstLine="0"/>
        <w:jc w:val="both"/>
        <w:rPr/>
      </w:pPr>
      <w:r w:rsidDel="00000000" w:rsidR="00000000" w:rsidRPr="00000000">
        <w:rPr>
          <w:rtl w:val="0"/>
        </w:rPr>
        <w:t xml:space="preserve">Ústavní soud naposledy v nálezu sp. zn. Pl. ÚS 5/2024 konstatoval, že plat soudců má být zásadně stabilní neměnnou veličinou a činit 3násobek průměrné mzdy. Ústavní soud vyložil, že pokud by došlo k „byť i jen částečnému odnětí již dosažené úrovně materiálního zabezpečení, stěží by mohl Ústavní soud z hlediska principů demokratického právního státu aprobovat. Zvláště to platí, pokud by se ukázalo, že takováto zásadně nepřípustná restrikce zasahuje toliko nebo především příjmové poměry soudců, a nikoliv současně příjmy jiných „služebníků státu“ (nález sp. zn. Pl. ÚS 16/11 a nález sp. zn. Pl. ÚS 33/11).</w:t>
      </w:r>
    </w:p>
    <w:p w:rsidR="00000000" w:rsidDel="00000000" w:rsidP="00000000" w:rsidRDefault="00000000" w:rsidRPr="00000000" w14:paraId="00000028">
      <w:pPr>
        <w:spacing w:after="120" w:before="120" w:line="240" w:lineRule="auto"/>
        <w:ind w:left="0" w:firstLine="0"/>
        <w:jc w:val="both"/>
        <w:rPr/>
      </w:pPr>
      <w:r w:rsidDel="00000000" w:rsidR="00000000" w:rsidRPr="00000000">
        <w:rPr>
          <w:rtl w:val="0"/>
        </w:rPr>
        <w:t xml:space="preserve">Již s ohledem na uvedené závěry lze považovat snížení a zmrazení platu soudců pro rok 2025 za protiústavní, neboť platová restrikce dopadá výlučně do platových poměrů soudců. Důvodová zpráva argumentuje jednotným dopadem růstu platů všech představitelů státní moci od 1.1.2025 o 6,95 %. Uvedené tvrzení však neodpovídá realitě. V důsledku zákona č. 57/2025 Sb. totiž došlo k faktickému snížení již dosahovaného platu, který byl soudcům vyplacen za leden 2025, a který vycházel z aktuální judikatury Ústavního soudu při absenci relevantní zákonné úpravy. Ve vztahu k soudcům se jedná o snížení platu o 6 %. Vztaženo k platu dosahovanému soudci za období roku 2024 zůstává plat stanovený na základě zákona č. 57/2025 Sb. na stejné úrovni. Důsledkem novelizace zákona o platu je tedy zvýšení platu představitelů o cca 6,9 % za současného snížení a dalšího „zmrazení“ platů soudců. Pojem „zmrazení“ ovšem berme jako zavedený eufemismus pro vyjádření reálného snížení, resp. snížení oproti platu vypočtenému podle standardních ústavně konformních pravidel.</w:t>
      </w:r>
    </w:p>
    <w:p w:rsidR="00000000" w:rsidDel="00000000" w:rsidP="00000000" w:rsidRDefault="00000000" w:rsidRPr="00000000" w14:paraId="00000029">
      <w:pPr>
        <w:spacing w:after="120" w:before="120" w:line="240" w:lineRule="auto"/>
        <w:ind w:left="0" w:firstLine="0"/>
        <w:jc w:val="both"/>
        <w:rPr/>
      </w:pPr>
      <w:r w:rsidDel="00000000" w:rsidR="00000000" w:rsidRPr="00000000">
        <w:rPr>
          <w:rtl w:val="0"/>
        </w:rPr>
        <w:t xml:space="preserve">Nehledě na výše uvedené, od 1.1.2025 dochází k paušálnímu zvýšení platového tarifu o 1 400 korun, rovněž ke zvýšení platových tarifů učitelů o 7 procent, k růstu o 1 500 korun dochází pro příslušníky bezpečnostních sborů, hasičů a policistů. Soudci tak zůstávají jedinou kategorií představitelů státní moci, u nichž dojde ke zmrazení stávajícího platu (resp. ke snížení). Absurditu výlučného zmrazení platu soudců dokresluje samotná argumentace uvedená v důvodové zprávě, podle níž lze pro rok 2025 očekávat zvýšení HDP o 2,7 %, rovněž zvýšení objemu mezd a platů o 6,4 % a zvýšení průměrné mzdy o 7,2 %. Důvodová zpráva paradoxně uvedeným zvýšením dokládá nezbytnost zmražení platu soudců. Jak vyplývá z údajů Českého statistického úřadu, ve 4. čtvrtletí roku 2024 </w:t>
      </w:r>
      <w:hyperlink r:id="rId8">
        <w:r w:rsidDel="00000000" w:rsidR="00000000" w:rsidRPr="00000000">
          <w:rPr>
            <w:color w:val="000000"/>
            <w:u w:val="none"/>
            <w:rtl w:val="0"/>
          </w:rPr>
          <w:t xml:space="preserve">vzrostla</w:t>
        </w:r>
      </w:hyperlink>
      <w:r w:rsidDel="00000000" w:rsidR="00000000" w:rsidRPr="00000000">
        <w:rPr>
          <w:rtl w:val="0"/>
        </w:rPr>
        <w:t xml:space="preserve"> </w:t>
      </w:r>
      <w:hyperlink r:id="rId9">
        <w:r w:rsidDel="00000000" w:rsidR="00000000" w:rsidRPr="00000000">
          <w:rPr>
            <w:color w:val="000000"/>
            <w:u w:val="none"/>
            <w:rtl w:val="0"/>
          </w:rPr>
          <w:t xml:space="preserve">průměrná hrubá měsíční nominální mzda</w:t>
        </w:r>
      </w:hyperlink>
      <w:r w:rsidDel="00000000" w:rsidR="00000000" w:rsidRPr="00000000">
        <w:rPr>
          <w:rtl w:val="0"/>
        </w:rPr>
        <w:t xml:space="preserve"> na přepočtené počty </w:t>
      </w:r>
      <w:hyperlink r:id="rId10">
        <w:r w:rsidDel="00000000" w:rsidR="00000000" w:rsidRPr="00000000">
          <w:rPr>
            <w:color w:val="000000"/>
            <w:u w:val="none"/>
            <w:rtl w:val="0"/>
          </w:rPr>
          <w:t xml:space="preserve">zaměstnanců</w:t>
        </w:r>
      </w:hyperlink>
      <w:r w:rsidDel="00000000" w:rsidR="00000000" w:rsidRPr="00000000">
        <w:rPr>
          <w:rtl w:val="0"/>
        </w:rPr>
        <w:t xml:space="preserve"> v národním hospodářství proti 3. čtvrtletí z 45 464 Kč na 49 229 Kč (</w:t>
      </w:r>
      <w:hyperlink r:id="rId11">
        <w:r w:rsidDel="00000000" w:rsidR="00000000" w:rsidRPr="00000000">
          <w:rPr>
            <w:color w:val="0000ff"/>
            <w:u w:val="single"/>
            <w:rtl w:val="0"/>
          </w:rPr>
          <w:t xml:space="preserve">www.csu.cz</w:t>
        </w:r>
      </w:hyperlink>
      <w:r w:rsidDel="00000000" w:rsidR="00000000" w:rsidRPr="00000000">
        <w:rPr>
          <w:rtl w:val="0"/>
        </w:rPr>
        <w:t xml:space="preserve">). Snížení platové základny je tak ve faktickém rozporu s trendem růstu mezd zaměstnanců v národním hospodářství a selektivně působí restriktivně výlučně vůči soudcům v rozporu se zásadou proporcionality platové restrikce. Přes zákonné nastavení přímé úměry platu soudců a průměrné mzdy v národním hospodářství se soudci v důsledku přijímaných platových restrikcí dlouhodobě nepodílejí rovnoměrně na růstu mezd, ovšem poklesem mezd jsou dotčeni vždy. Zákonodárce snížil materiální zabezpečení soudců a odhlédl od skutečnosti, že platy soudců jsou stanoveny fixní částkou a na rozdíl od státních úředníků je nelze navyšovat přiznáváním žádných odměn, přičemž možnost dosahování jiných příjmů je pro soudce značně omezena.</w:t>
      </w:r>
    </w:p>
    <w:p w:rsidR="00000000" w:rsidDel="00000000" w:rsidP="00000000" w:rsidRDefault="00000000" w:rsidRPr="00000000" w14:paraId="0000002A">
      <w:pPr>
        <w:spacing w:after="120" w:before="120" w:line="240" w:lineRule="auto"/>
        <w:ind w:left="0" w:firstLine="0"/>
        <w:jc w:val="both"/>
        <w:rPr>
          <w:i w:val="1"/>
        </w:rPr>
      </w:pPr>
      <w:r w:rsidDel="00000000" w:rsidR="00000000" w:rsidRPr="00000000">
        <w:rPr>
          <w:i w:val="1"/>
          <w:rtl w:val="0"/>
        </w:rPr>
        <w:t xml:space="preserve">Důkaz:</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Garamond" w:cs="Garamond" w:eastAsia="Garamond" w:hAnsi="Garamond"/>
          <w:b w:val="0"/>
          <w:i w:val="1"/>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1"/>
          <w:smallCaps w:val="0"/>
          <w:strike w:val="0"/>
          <w:color w:val="000000"/>
          <w:sz w:val="24"/>
          <w:szCs w:val="24"/>
          <w:u w:val="none"/>
          <w:shd w:fill="auto" w:val="clear"/>
          <w:vertAlign w:val="baseline"/>
          <w:rtl w:val="0"/>
        </w:rPr>
        <w:t xml:space="preserve">Důvodová zpráva k zákonu č. 57/2025 Sb.</w:t>
      </w:r>
    </w:p>
    <w:p w:rsidR="00000000" w:rsidDel="00000000" w:rsidP="00000000" w:rsidRDefault="00000000" w:rsidRPr="00000000" w14:paraId="0000002C">
      <w:pPr>
        <w:spacing w:after="120" w:before="120" w:line="240" w:lineRule="auto"/>
        <w:ind w:left="0" w:firstLine="0"/>
        <w:jc w:val="both"/>
        <w:rPr/>
      </w:pPr>
      <w:r w:rsidDel="00000000" w:rsidR="00000000" w:rsidRPr="00000000">
        <w:rPr>
          <w:rtl w:val="0"/>
        </w:rPr>
        <w:t xml:space="preserve">Kromě toho neobstojí ani argumentace vlády ohledně naléhavé potřeby řešení deficitu státního rozpočtu způsobeného nápravou povodňových škod způsobených v roce 2024. Jak Ústavní soud opakovaně judikuje, zákonodárce je povinen platovou restrikci soudců podložil reálnou argumentací. Aby mohla být přezkoumána proporcionalita platové restrikce, je třeba, aby byla řádně odůvodněna, a to „včetně komplexního ekonomického rozboru, z něhož budou patrny možnosti státního rozpočtu v návaznosti na hospodářskou situaci státu“ (nález sp. zn. Pl. ÚS 28/13, bod 53). Ekonomická analýza musí umožnit rovněž srovnání s platovými poměry představitelů moci zákonodárné a výkonné. Proto Ústavní soud v minulosti zdůraznil, že v rámci ekonomické analýzy „musí být poskytnuty řádné údaje o situaci v odměňování zejména vyšších státních úředníků a dalších osob s nejvyššími odměnami za práci poskytovanými ze státního rozpočtu.“ O žádnou takovou analýzu a srovnání se zákonodárce ani nepokusil. Platová restrikce týkající se soudců je odůvodněna rozpočtovými deficity státu, tedy argumentem, který se cyklicky opakuje ve všech normách zakotvujících platové „mrazení“ či snížení. Důvodová zpráva zcela pomíjí, že systémová platová solidarita soudců se všemi zaměstnanci v národním hospodářství je dána vazbou platu soudců na průměrnou hrubou měsíční nominální mzdu na přepočtené počty zaměstnanců v národním hospodářství. V uvedeném „platovém automatu“ je zakotvena zásada neodtržení platu soudců od platů ostatních zaměstnanců, přičemž uvedené nastavení zakládá neměnnost, stabilitu a trvalost systému výpočtu platu soudců. Opakované, soustavné zásahy moci zákonodárné do platů soudců lakonicky odůvodňované „špatným stavem veřejných financí“ zakládají nikoli akceptování nezávislého postavení soudců podloženého stabilním materiálním zabezpečením, nýbrž spíše presumpci dalších a dalších omezení, zásahů a restrikcí. Cyklické otevírání problematiky materiálního zabezpečení soudců v důsledku diskredituje samu moc soudní a činí ji závislou na opakovaných jednáních s představiteli ostatních státních mocí a na soustavném uplatňování nároků soudní cestou.</w:t>
      </w:r>
    </w:p>
    <w:p w:rsidR="00000000" w:rsidDel="00000000" w:rsidP="00000000" w:rsidRDefault="00000000" w:rsidRPr="00000000" w14:paraId="0000002D">
      <w:pPr>
        <w:spacing w:after="120" w:before="120" w:line="240" w:lineRule="auto"/>
        <w:ind w:left="0" w:firstLine="0"/>
        <w:jc w:val="both"/>
        <w:rPr/>
      </w:pPr>
      <w:r w:rsidDel="00000000" w:rsidR="00000000" w:rsidRPr="00000000">
        <w:rPr>
          <w:rtl w:val="0"/>
        </w:rPr>
        <w:t xml:space="preserve">Protiústavnost platové restrikce spočívá dále v absenci řádného projednání platové restrikce s představiteli soudní moci. Těmi Ústavní soud rozumí předsedy Nejvyššího soudu, Nejvyššího správního soudu a zájmové organizace soudců. Z vyjádření předsedů soudů a prezidenta soudcovské unie vyplývá, že předmětná otázka s nimi nebyla reálně projednávána, nýbrž pouze jim byla dána na vědomí. Se Spolkem řadových soudců zastupujícím zájmy soudců nefunkcionářů záměr zákona nebyl projednáván vůbec.</w:t>
      </w:r>
    </w:p>
    <w:p w:rsidR="00000000" w:rsidDel="00000000" w:rsidP="00000000" w:rsidRDefault="00000000" w:rsidRPr="00000000" w14:paraId="0000002E">
      <w:pPr>
        <w:spacing w:after="120" w:before="120" w:line="240" w:lineRule="auto"/>
        <w:ind w:left="0" w:firstLine="0"/>
        <w:jc w:val="both"/>
        <w:rPr/>
      </w:pPr>
      <w:r w:rsidDel="00000000" w:rsidR="00000000" w:rsidRPr="00000000">
        <w:rPr>
          <w:rtl w:val="0"/>
        </w:rPr>
        <w:t xml:space="preserve">Žalobce dále poukazuje na skutečnost, že k zásahům do platů soudců došlo již 16x, novela zákona o platu soudců byla přijata jen několik měsíců poté, co Ústavní soud vyslovil nepřípustnost zásahu, který byl fakticky identický se zásahem aktuálním. Časová blízkost přijetí aktuálního zásahu do soudcovských platů a posledního platového nálezu Ústavního soudu zavdává pochybnost o respektu zákonodárce k Ústavnímu soudu a obecné závaznosti jeho nálezů a jeví se spíše jako tendence k ignorování pravomoci Ústavního soudu v systému dělby moci.</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s>
        <w:spacing w:after="120" w:before="120" w:line="240" w:lineRule="auto"/>
        <w:ind w:left="0" w:right="0" w:firstLine="0"/>
        <w:jc w:val="center"/>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III.</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s>
        <w:spacing w:after="120" w:before="12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Rozpor s primárním právem EU</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Žalobce dále upozorňuje na to, že snížení platů soudců je dále v rozporu s judikaturou Soudního dvora Evropské unie. V rozsudku ve věci C 146/23 ze dne 25.2.2025 Velký senát SDEU vyložil čl. 2 a čl. 19 odst. 1 druhého pododstavce Smlouvy o Evropské unii a čl. 47 Listiny základních práv Evropské unie, přičemž uvedl, že snížení platů soudců v rámci rozpočtových opatření je možným opatřením, které musí být odůvodněno cílem obecného zájmu, jakým je např. potřeba odstranit nadměrný schodek veřejných financí. Rozpočtové důvody odůvodňující přijetí opatření odchylujícího se od pravidel obecného práva v oblasti odměňování soudců musí být jasně vysvětleny. Kromě toho se tato opatření s výhradou řádně odůvodněných výjimečných okolností nesmějí konkrétně zaměřovat pouze na členy vnitrostátních soudů a musí tvořit součást obecnějšího rámce, jehož cílem je zajistit, aby se na sledovaném rozpočtovém úsilí podílela širší skupina příslušníků státní správy. Pokud tak členský stát přijme rozpočtová omezující opatření týkající se jeho úředníků a veřejných činitelů, může se rozhodnout uplatnit tato opatření rovněž na vnitrostátní soudce. Rozhodnutí o snížení či zmrazení platů soudců přitom musí být založeno na pravidlech, která jsou objektivní, předvídatelná, stabilní a transparentní. Opatření zasahující do platu soudců musí být výjimečné a dočasné. Zákonodárce je vázán zásadou proporcionality, která představuje obecnou zásadu unijního práva, tedy omezit se na to, co je nezbytně nutné k dosažení cíle; jinými slovy, dopad uvedeného opatření na odměny soudců nesmí být nepřiměřený sledovanému cíli. Opatření zasahující do platů soudců musí zůstat výjimečné a dočasné v tom smyslu, že je lze použít pouze po dobu nezbytnou k dosažení sledovaného legitimního cíle. V dané věci je evidentní, že ani jedno z kritérií nebylo aktuálním zásahem do platů soudců splněno.</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Mimořádně významnou skutečností z hlediska hodnocení aktuálního zásahu do platů soudců je hledisko, které Velký senát při hodnocení zásahu do platů soudců považuje za významně relevantní, totiž zda k zásahu do platu došlo výjimečně pro konkrétní období, anebo se jedná o setrvalý či opakující se stav. V posuzované věci je porušení tohoto kritéria do očí bijící, neboť, jak již žalobce uvedl výše, k zásahům do platů soudců došlo již 16x, novela zákona o platu soudců byla přijata jen několik měsíců poté, co Ústavní soud vyslovil nepřípustnost zásahu, který byl fakticky identický se zásahem aktuálním.</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b w:val="1"/>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IV.</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Aplikační přednost práva EU i ve vztahu k ústavnímu pořádku, navrhovaný postup soudu</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S ohledem na shora uvedené tedy žalobce uzavírá, že aktuální snížení platů soudců je jak v rozporu s ústavním pořádkem, tak v rozporu s primárním právem Evropské unie, a to čl. 2 a čl. 19 odst. 1 druhého pododstavce Smlouvy o Evropské unii a čl. 47 Listiny základních práv Evropské unie, která je dle čl. 6 Smlouvy o Evropské unii rovněž primárním právem.</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Rozpor s ústavním pořádkem není oprávněn nalézací soud posoudit samostatně, ale dojde-li k závěru, že zákonná norma je v rozporu s normou ústavní, je třeba věc předložit Ústavnímu soudu k posouzení. Naproti tomu rozpor s primárním právem je soud oprávněn, ba dokonce povinen posoudit sám. V rozsudku Van Gend en Loos (26/62) Soudní dvůr dovodil přímý bezprostřední účinek evropského práva, tedy včetně práva primárního, v rozsudku Costa vs. ENEL (6/64) pak Soudní dvůr dovodil aplikační přednost evropského práva. Z uvedených závěrů vyplývá, že normy evropského práva jsou přímo použitelné a v případě konfliktu mají přednost před vnitrostátními předpisy. Uvedené pak Soudní dvůr rozvedl v rozsudku Simmenthal (106/7), ve kterém vyložil, že povinností každého vnitrostátního soudu je plně aplikovat evropské právo a chránit práva, která v něm plynou jednotlivcům, a to tím, že neaplikuje jakékoli odporující ustanovení, aniž by musel čekat na odstranění k tomu oprávněnými vnitrostátními orgány. Soudní dvůr výslovně uvedl, že s evropským právem by bylo neslučitelné jakékoli ustanovení vnitrostátního právního řádu, či jakákoli soudní praxe, které by měly za následek oslabení účinnosti evropského práva tím, že by odmítaly soudci příslušnému pro použití tohoto práva pravomoc učinit v samotném okamžiku tohoto použití vše, co je nezbytné, pro to, aby byly ponechány stranou vnitrostátní legislativní ustanovení případně tvořící překážku pro plnou účinnost evropského práva (Soudní dvůr totiž mj. odpovídal na předběžnou otázku, zda je nutno s neaplikací evropského práva vyčkat na prohlášení neústavnosti či zrušení ústavním soudem).</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V dané věci má tedy rozpor s evropským právem přednost před rozporem s Ústavním pořádkem, proto by soud neměl dle názoru žalobce v dané věci aplikovat ustanovení § 4 zákona č. 236/1995 Sb. Pro rozpor se shora uvedeným primárním právem Evropské unie, tedy pro rozpor s ustanoveními čl. 2 a čl. 19 odst. 1 druhého pododstavce Smlouvy o Evropské unii a čl. 47 Listiny základních práv Evropské unii, jak je vyložil Soudní dvůr v rozsudku C 146/23 ze dne 25.2.2025, a to bez toho, aby věc v mezičase předkládal Ústavnímu soudu k rozhodnutí, neboť takový postup by byl zcela v rozporu s právními závěry uvedenými Soudním dvorem ve shora zmíněné věci Simmenthal. Po neaplikaci ustanovení § 4 uvedeného zákona pak nezbývá než plat žalobce určit dle § 3 uvedeného zákona, tedy jako trojnásobek průměrné hrubé měsíční nominální mzdy na přepočtené počty zaměstnanců v národním hospodářství dosažené podle zveřejněných údajů Českého statistického úřadu za předminulý kalendářní rok, tedy shodně, jak byl plat žalobce určen za měsíc leden 2025.</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V.</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Alternativní argumentace rozporem s ústavním pořádkem, zpětné doplacení platu</w:t>
      </w:r>
    </w:p>
    <w:p w:rsidR="00000000" w:rsidDel="00000000" w:rsidP="00000000" w:rsidRDefault="00000000" w:rsidRPr="00000000" w14:paraId="0000003C">
      <w:pPr>
        <w:ind w:left="0" w:firstLine="0"/>
        <w:jc w:val="both"/>
        <w:rPr>
          <w:vertAlign w:val="baseline"/>
        </w:rPr>
      </w:pPr>
      <w:r w:rsidDel="00000000" w:rsidR="00000000" w:rsidRPr="00000000">
        <w:rPr>
          <w:vertAlign w:val="baseline"/>
          <w:rtl w:val="0"/>
        </w:rPr>
        <w:t xml:space="preserve">Kdyby se soud neztotožnil s tvrzeným rozporem s evropským právem, doplňuje soud navíc svou argumentaci rozporu s ústavním pořádkem.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vertAlign w:val="baseline"/>
        </w:rPr>
      </w:pPr>
      <w:r w:rsidDel="00000000" w:rsidR="00000000" w:rsidRPr="00000000">
        <w:rPr>
          <w:vertAlign w:val="baseline"/>
          <w:rtl w:val="0"/>
        </w:rPr>
        <w:t xml:space="preserve">Žalobce je toho názoru, že skutkové okolnosti týkající se snížení platu soudců od 1. 1. 2025 (fakticky od 1.2.2025) zakládají důvodnost zpětného doplacení platů, tedy přiznání zpětného účinku derogačního nálezu Ústavního soudu, stejně jako ve věci sp. zn. Pl. ÚS 5/2024.  Pokud totiž Ústavní soud ve svých nálezech konstatuje, že zákon nebo jiný právní předpis je v rozporu s ústavním pořádkem, pak tento rozpor byl dán i po dosavadní dobu jeho účinnosti. Zejména v případech, kdy je derogačním důvodem zjištění, že aplikace zrušeného právního předpisu působí porušení základních práv jednotlivců, je přirozeným důsledkem, že se dotčeným jednotlivcům poskytne ochrana jejich základních práv a svobod právě tím, že se předmětný právní předpis v rozsahu, na který dopadá derogační důvod vyslovený v nálezu Ústavního soudu, zpětně neaplikuje.</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Odpovědnost spojenou s důsledky zrušení zákona nese stát, tedy subjekt, který protiústavnost zákona způsobil. Opačný přístup by opět opakovaně vedl moc zákonodárnou a výkonnou k úvahám o platových restrikcích soudců, které by se i přes zásahy Ústavního soudu alespoň načas vyplatily.</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Na základě výše uvedeného se žalobce domnívá, že je dostatečně odůvodněn nárok na jistinu, tedy doplatek rozdílu mezi poskytnutým platem a platem ústavně konformním. Žalobce dále požaduje zaplacení zákonných úroků z prodlení. Nárok na zaplacení zákonných úroků z prodlení má oporu v ustanovení § 1970 o. z., výše úroků z prodlení v nařízení vlády č. 351/2013 Sb. ze dne 16. října 2013. Splatnost platu vychází z ustanovení § 141 odst. 1 zákoníku práce, podle kterého, mzda nebo plat jsou splatné po vykonání práce, a to nejpozději v kalendářním měsíci následujícím po měsíci, ve kterém vzniklo zaměstnanci právo na mzdu nebo plat nebo některou jejich složku. S ohledem na uvedené ustanovení požaduje žalobce zaplacení zákonných úroků z prodlení od prvního dne měsíce následujícího po měsíci, v němž byl plat splatný.</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Žalobce připomíná, že žalovaná opět opakovaně hrubě popírá nárok soudní moci na stabilitu majetkových poměrů, do platového zabezpečení soudců zasahuje setrvale. Ke snížení platové základy soudců došlo prozatím čtyřikrát: Zákonem č. 418/2009 Sb. na 96 % platu soudců, zákonem č. 425/2010 Sb. na 2,5 násobek a zákonem č. 11/2013 Sb. na 2,75 násobek a zákonem č. 349/2023 Sb. účinným od 1.1.2024 na 2,822 násobek průměrné mzdy. Ke „zmrazení“ platů soudců došlo pro roky 2003, 2004, 2008, 2009, 2010, 2021 a 2022.</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Veškerá dosavadní snížení vzal v nálezu sp. zn. Pl. ÚS 5/2024 v úvahu Ústavní soud a konstatoval, že „z neústavního jednání nelze těžit.“ Dovodil následně, že účinky citovaného nálezu se vůči soudců vztahují na dobu předcházející vyhlášení nálezu, totiž k 1.1.2024. Konstatoval, že „…v případě soudcovských platů Ústavní soud nemůže vycházet z obecného pravidla, že zrušení neústavního zákona má účinky směřující výlučně do budoucna (ex nunc). Takový přístup by totiž nemístně podporoval přijímání dalších neústavních restrikcí. Neústavní restrikce by totiž byla vždy uplatnitelná až do okamžiku svého zrušení Ústavním soudem. Pro moc výkonnou a zákonodárnou by v takovém případě mohlo být výhodné zavádět i vědomě neústavní platové restrikce, neboť by měly jistotu, že vždy alespoň na určitou dobu neústavní restrikci fakticky prosadí. Takový postup, který podporuje neústavní jednání, Ústavní soud aprobovat nemůže.“</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0"/>
          <w:i w:val="0"/>
          <w:smallCaps w:val="0"/>
          <w:strike w:val="0"/>
          <w:color w:val="000000"/>
          <w:sz w:val="24"/>
          <w:szCs w:val="24"/>
          <w:u w:val="none"/>
          <w:shd w:fill="auto" w:val="clear"/>
          <w:vertAlign w:val="baseline"/>
          <w:rtl w:val="0"/>
        </w:rPr>
        <w:t xml:space="preserve">Z uvedené argumentace podle názoru žalobce vyplývá kromě jiného důvodnost nároku na zaplacení zákonných úroků z prodlení.</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s>
        <w:spacing w:after="120" w:before="120" w:line="240" w:lineRule="auto"/>
        <w:ind w:left="0" w:right="0" w:firstLine="0"/>
        <w:jc w:val="center"/>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VI.</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s>
        <w:spacing w:after="120" w:before="120" w:line="240" w:lineRule="auto"/>
        <w:ind w:left="0" w:right="0" w:firstLine="0"/>
        <w:jc w:val="center"/>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Žalobní petit</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s>
        <w:spacing w:after="120" w:before="12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Žalobce z výše uvedených důvodů navrhuje, aby soud uložil žalované zaplatit žalobci částku ve výši …………….. Kč se zákonným úrokem z prodlení ve výši ……………… ročně z částky ………………. od ………………… do zaplacení a nahradit mu náklady řízení do tří dnů od právní moci rozsudku.</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s>
        <w:spacing w:after="120" w:before="120" w:line="240" w:lineRule="auto"/>
        <w:ind w:left="0" w:right="0" w:firstLine="0"/>
        <w:jc w:val="both"/>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spacing w:after="120" w:before="120" w:lineRule="auto"/>
        <w:ind w:left="0" w:firstLine="0"/>
        <w:jc w:val="both"/>
        <w:rPr/>
      </w:pPr>
      <w:r w:rsidDel="00000000" w:rsidR="00000000" w:rsidRPr="00000000">
        <w:rPr>
          <w:rtl w:val="0"/>
        </w:rPr>
        <w:t xml:space="preserve">V ……………….  dne ……………</w:t>
      </w:r>
    </w:p>
    <w:p w:rsidR="00000000" w:rsidDel="00000000" w:rsidP="00000000" w:rsidRDefault="00000000" w:rsidRPr="00000000" w14:paraId="00000048">
      <w:pPr>
        <w:spacing w:after="120" w:before="120" w:lineRule="auto"/>
        <w:ind w:left="0" w:firstLine="0"/>
        <w:jc w:val="both"/>
        <w:rPr/>
      </w:pPr>
      <w:r w:rsidDel="00000000" w:rsidR="00000000" w:rsidRPr="00000000">
        <w:rPr>
          <w:rtl w:val="0"/>
        </w:rPr>
        <w:t xml:space="preserve">JUDr. ………………………….</w:t>
      </w:r>
    </w:p>
    <w:p w:rsidR="00000000" w:rsidDel="00000000" w:rsidP="00000000" w:rsidRDefault="00000000" w:rsidRPr="00000000" w14:paraId="00000049">
      <w:pPr>
        <w:ind w:left="0" w:firstLine="0"/>
        <w:jc w:val="both"/>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340" w:hanging="34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aramond" w:cs="Garamond" w:eastAsia="Garamond" w:hAnsi="Garamond"/>
        <w:sz w:val="24"/>
        <w:szCs w:val="24"/>
        <w:lang w:val="cs-CZ"/>
      </w:rPr>
    </w:rPrDefault>
    <w:pPrDefault>
      <w:pPr>
        <w:spacing w:after="160" w:line="25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ln" w:default="1">
    <w:name w:val="Normal"/>
    <w:aliases w:val="Garamond"/>
    <w:qFormat w:val="1"/>
    <w:rsid w:val="00ED4930"/>
    <w:pPr>
      <w:spacing w:after="160" w:line="256" w:lineRule="auto"/>
    </w:pPr>
    <w:rPr>
      <w:rFonts w:ascii="Garamond" w:hAnsi="Garamond"/>
      <w:sz w:val="24"/>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character" w:styleId="Hypertextovodkaz">
    <w:name w:val="Hyperlink"/>
    <w:basedOn w:val="Standardnpsmoodstavce"/>
    <w:uiPriority w:val="99"/>
    <w:unhideWhenUsed w:val="1"/>
    <w:rsid w:val="00ED4930"/>
    <w:rPr>
      <w:color w:val="0000ff" w:themeColor="hyperlink"/>
      <w:u w:val="single"/>
    </w:rPr>
  </w:style>
  <w:style w:type="paragraph" w:styleId="Textpoznpodarou">
    <w:name w:val="footnote text"/>
    <w:basedOn w:val="Normln"/>
    <w:link w:val="TextpoznpodarouChar"/>
    <w:uiPriority w:val="99"/>
    <w:semiHidden w:val="1"/>
    <w:unhideWhenUsed w:val="1"/>
    <w:rsid w:val="00ED4930"/>
    <w:pPr>
      <w:spacing w:after="0" w:line="240" w:lineRule="auto"/>
    </w:pPr>
    <w:rPr>
      <w:sz w:val="20"/>
      <w:szCs w:val="20"/>
    </w:rPr>
  </w:style>
  <w:style w:type="character" w:styleId="TextpoznpodarouChar" w:customStyle="1">
    <w:name w:val="Text pozn. pod čarou Char"/>
    <w:basedOn w:val="Standardnpsmoodstavce"/>
    <w:link w:val="Textpoznpodarou"/>
    <w:uiPriority w:val="99"/>
    <w:semiHidden w:val="1"/>
    <w:rsid w:val="00ED4930"/>
    <w:rPr>
      <w:rFonts w:ascii="Garamond" w:hAnsi="Garamond"/>
      <w:sz w:val="20"/>
      <w:szCs w:val="20"/>
    </w:rPr>
  </w:style>
  <w:style w:type="character" w:styleId="TextodvodnnChar" w:customStyle="1">
    <w:name w:val="Text odůvodnění Char"/>
    <w:link w:val="Textodvodnn"/>
    <w:locked w:val="1"/>
    <w:rsid w:val="00ED4930"/>
    <w:rPr>
      <w:rFonts w:ascii="Garamond" w:cs="Times New Roman" w:eastAsia="Times New Roman" w:hAnsi="Garamond"/>
      <w:sz w:val="24"/>
      <w:lang w:bidi="en-US"/>
    </w:rPr>
  </w:style>
  <w:style w:type="paragraph" w:styleId="Textodvodnn" w:customStyle="1">
    <w:name w:val="Text odůvodnění"/>
    <w:basedOn w:val="Normln"/>
    <w:link w:val="TextodvodnnChar"/>
    <w:qFormat w:val="1"/>
    <w:rsid w:val="00ED4930"/>
    <w:pPr>
      <w:numPr>
        <w:numId w:val="1"/>
      </w:numPr>
      <w:spacing w:after="120" w:line="240" w:lineRule="auto"/>
      <w:jc w:val="both"/>
    </w:pPr>
    <w:rPr>
      <w:rFonts w:cs="Times New Roman" w:eastAsia="Times New Roman"/>
      <w:lang w:bidi="en-US"/>
    </w:rPr>
  </w:style>
  <w:style w:type="character" w:styleId="Znakapoznpodarou">
    <w:name w:val="footnote reference"/>
    <w:basedOn w:val="Standardnpsmoodstavce"/>
    <w:uiPriority w:val="99"/>
    <w:semiHidden w:val="1"/>
    <w:unhideWhenUsed w:val="1"/>
    <w:rsid w:val="00ED4930"/>
    <w:rPr>
      <w:vertAlign w:val="superscript"/>
    </w:rPr>
  </w:style>
  <w:style w:type="character" w:styleId="Nevyeenzmnka">
    <w:name w:val="Unresolved Mention"/>
    <w:basedOn w:val="Standardnpsmoodstavce"/>
    <w:uiPriority w:val="99"/>
    <w:semiHidden w:val="1"/>
    <w:unhideWhenUsed w:val="1"/>
    <w:rsid w:val="00A15275"/>
    <w:rPr>
      <w:color w:val="605e5c"/>
      <w:shd w:color="auto" w:fill="e1dfdd" w:val="clear"/>
    </w:rPr>
  </w:style>
  <w:style w:type="paragraph" w:styleId="Odstavecseseznamem">
    <w:name w:val="List Paragraph"/>
    <w:basedOn w:val="Normln"/>
    <w:uiPriority w:val="34"/>
    <w:qFormat w:val="1"/>
    <w:rsid w:val="00A15275"/>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www.csu.cz" TargetMode="External"/><Relationship Id="rId10" Type="http://schemas.openxmlformats.org/officeDocument/2006/relationships/hyperlink" Target="https://www.kurzy.cz/hodnoty/zamestnanec/" TargetMode="External"/><Relationship Id="rId9" Type="http://schemas.openxmlformats.org/officeDocument/2006/relationships/hyperlink" Target="https://www.kurzy.cz/makroekonomika/mzd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su.gov.cz/docs/107508/5605f5f5-5f4d-c039-142d-3c1efeeea33e/pmzcr030625_1.xlsx?version=1.0" TargetMode="External"/><Relationship Id="rId8" Type="http://schemas.openxmlformats.org/officeDocument/2006/relationships/hyperlink" Target="https://www.kurzy.cz/ekonomika/rus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Ou+8NazV7yKcD4QoxYxOp+s1VA==">CgMxLjA4AHIhMTI1TGVzbWdvWTlPNXZmbGhZS1Nja2ZzVC1PRE55TWJv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2025-03-24T16:50:00Z</dcterms:created>
  <dc:creator>User</dc:creator>
</cp:coreProperties>
</file>